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A93" w:rsidRDefault="00DC77F6" w:rsidP="00DC77F6">
      <w:pPr>
        <w:jc w:val="center"/>
        <w:rPr>
          <w:rFonts w:ascii="方正小标宋简体" w:eastAsia="方正小标宋简体"/>
          <w:sz w:val="44"/>
          <w:szCs w:val="44"/>
        </w:rPr>
      </w:pPr>
      <w:r>
        <w:rPr>
          <w:rFonts w:ascii="方正小标宋简体" w:eastAsia="方正小标宋简体" w:hint="eastAsia"/>
          <w:sz w:val="44"/>
          <w:szCs w:val="44"/>
        </w:rPr>
        <w:t>欧盟基金对波兰近年来经济发展的支持</w:t>
      </w:r>
    </w:p>
    <w:p w:rsidR="00DC77F6" w:rsidRPr="00BD3E61" w:rsidRDefault="00606F0D" w:rsidP="00606F0D">
      <w:pPr>
        <w:ind w:firstLineChars="200" w:firstLine="640"/>
        <w:rPr>
          <w:rFonts w:ascii="黑体" w:eastAsia="黑体" w:hAnsi="黑体"/>
          <w:sz w:val="32"/>
          <w:szCs w:val="32"/>
        </w:rPr>
      </w:pPr>
      <w:r>
        <w:rPr>
          <w:rFonts w:ascii="黑体" w:eastAsia="黑体" w:hAnsi="黑体" w:hint="eastAsia"/>
          <w:sz w:val="32"/>
          <w:szCs w:val="32"/>
        </w:rPr>
        <w:t>一、欧盟基金概况</w:t>
      </w:r>
    </w:p>
    <w:p w:rsidR="00DC77F6" w:rsidRDefault="0041329E" w:rsidP="00CB0C15">
      <w:pPr>
        <w:ind w:firstLineChars="200" w:firstLine="640"/>
        <w:rPr>
          <w:rFonts w:ascii="仿宋_GB2312" w:eastAsia="仿宋_GB2312"/>
          <w:sz w:val="32"/>
          <w:szCs w:val="32"/>
        </w:rPr>
      </w:pPr>
      <w:r>
        <w:rPr>
          <w:rFonts w:ascii="仿宋_GB2312" w:eastAsia="仿宋_GB2312" w:hint="eastAsia"/>
          <w:sz w:val="32"/>
          <w:szCs w:val="32"/>
        </w:rPr>
        <w:t>欧盟基金全称为</w:t>
      </w:r>
      <w:r w:rsidR="00CB0C15">
        <w:rPr>
          <w:rFonts w:ascii="仿宋_GB2312" w:eastAsia="仿宋_GB2312" w:hint="eastAsia"/>
          <w:sz w:val="32"/>
          <w:szCs w:val="32"/>
        </w:rPr>
        <w:t>欧洲结构和投资基金</w:t>
      </w:r>
      <w:r w:rsidR="00524C87">
        <w:rPr>
          <w:rFonts w:ascii="仿宋_GB2312" w:eastAsia="仿宋_GB2312" w:hint="eastAsia"/>
          <w:sz w:val="32"/>
          <w:szCs w:val="32"/>
        </w:rPr>
        <w:t>（European Structural and Investment Funds）</w:t>
      </w:r>
      <w:r w:rsidR="00CB0C15">
        <w:rPr>
          <w:rFonts w:ascii="仿宋_GB2312" w:eastAsia="仿宋_GB2312" w:hint="eastAsia"/>
          <w:sz w:val="32"/>
          <w:szCs w:val="32"/>
        </w:rPr>
        <w:t>，</w:t>
      </w:r>
      <w:r w:rsidR="00524C87">
        <w:rPr>
          <w:rFonts w:ascii="仿宋_GB2312" w:eastAsia="仿宋_GB2312" w:hint="eastAsia"/>
          <w:sz w:val="32"/>
          <w:szCs w:val="32"/>
        </w:rPr>
        <w:t>为缩小欧盟内部区域经济发展</w:t>
      </w:r>
      <w:r w:rsidR="00197013">
        <w:rPr>
          <w:rFonts w:ascii="仿宋_GB2312" w:eastAsia="仿宋_GB2312" w:hint="eastAsia"/>
          <w:sz w:val="32"/>
          <w:szCs w:val="32"/>
        </w:rPr>
        <w:t>差距</w:t>
      </w:r>
      <w:r w:rsidR="00524C87">
        <w:rPr>
          <w:rFonts w:ascii="仿宋_GB2312" w:eastAsia="仿宋_GB2312" w:hint="eastAsia"/>
          <w:sz w:val="32"/>
          <w:szCs w:val="32"/>
        </w:rPr>
        <w:t>和支持落后地区或产业衰退地区的经济发展与产业结构调整而设立。欧盟基金</w:t>
      </w:r>
      <w:r w:rsidR="00D00590">
        <w:rPr>
          <w:rFonts w:ascii="仿宋_GB2312" w:eastAsia="仿宋_GB2312" w:hint="eastAsia"/>
          <w:sz w:val="32"/>
          <w:szCs w:val="32"/>
        </w:rPr>
        <w:t>来源于欧盟预算，由欧盟理事会和欧洲议会批准，属于欧盟财政专项支出。欧盟多年财政计划（MFF</w:t>
      </w:r>
      <w:r w:rsidR="00C61AEA">
        <w:rPr>
          <w:rFonts w:ascii="仿宋_GB2312" w:eastAsia="仿宋_GB2312" w:hint="eastAsia"/>
          <w:sz w:val="32"/>
          <w:szCs w:val="32"/>
        </w:rPr>
        <w:t>）负责基金的支出</w:t>
      </w:r>
      <w:r w:rsidR="00D00590">
        <w:rPr>
          <w:rFonts w:ascii="仿宋_GB2312" w:eastAsia="仿宋_GB2312" w:hint="eastAsia"/>
          <w:sz w:val="32"/>
          <w:szCs w:val="32"/>
        </w:rPr>
        <w:t>，每7</w:t>
      </w:r>
      <w:r w:rsidR="007E0E9E">
        <w:rPr>
          <w:rFonts w:ascii="仿宋_GB2312" w:eastAsia="仿宋_GB2312" w:hint="eastAsia"/>
          <w:sz w:val="32"/>
          <w:szCs w:val="32"/>
        </w:rPr>
        <w:t>年为一轮</w:t>
      </w:r>
      <w:r w:rsidR="003929FD">
        <w:rPr>
          <w:rFonts w:ascii="仿宋_GB2312" w:eastAsia="仿宋_GB2312" w:hint="eastAsia"/>
          <w:sz w:val="32"/>
          <w:szCs w:val="32"/>
        </w:rPr>
        <w:t>规划周期，当前财政计划从2014年截至2020年</w:t>
      </w:r>
      <w:r w:rsidR="00D00590">
        <w:rPr>
          <w:rFonts w:ascii="仿宋_GB2312" w:eastAsia="仿宋_GB2312" w:hint="eastAsia"/>
          <w:sz w:val="32"/>
          <w:szCs w:val="32"/>
        </w:rPr>
        <w:t>。</w:t>
      </w:r>
    </w:p>
    <w:p w:rsidR="00D00590" w:rsidRDefault="00C61AEA" w:rsidP="00CB0C15">
      <w:pPr>
        <w:ind w:firstLineChars="200" w:firstLine="640"/>
        <w:rPr>
          <w:rFonts w:ascii="仿宋_GB2312" w:eastAsia="仿宋_GB2312"/>
          <w:sz w:val="32"/>
          <w:szCs w:val="32"/>
        </w:rPr>
      </w:pPr>
      <w:r>
        <w:rPr>
          <w:rFonts w:ascii="仿宋_GB2312" w:eastAsia="仿宋_GB2312" w:hint="eastAsia"/>
          <w:sz w:val="32"/>
          <w:szCs w:val="32"/>
        </w:rPr>
        <w:t>为配合实施</w:t>
      </w:r>
      <w:r w:rsidR="00D00590">
        <w:rPr>
          <w:rFonts w:ascii="仿宋_GB2312" w:eastAsia="仿宋_GB2312" w:hint="eastAsia"/>
          <w:sz w:val="32"/>
          <w:szCs w:val="32"/>
        </w:rPr>
        <w:t>“欧盟2020战略”，</w:t>
      </w:r>
      <w:r w:rsidR="003B125D">
        <w:rPr>
          <w:rFonts w:ascii="仿宋_GB2312" w:eastAsia="仿宋_GB2312" w:hint="eastAsia"/>
          <w:sz w:val="32"/>
          <w:szCs w:val="32"/>
        </w:rPr>
        <w:t>当前</w:t>
      </w:r>
      <w:r>
        <w:rPr>
          <w:rFonts w:ascii="仿宋_GB2312" w:eastAsia="仿宋_GB2312" w:hint="eastAsia"/>
          <w:sz w:val="32"/>
          <w:szCs w:val="32"/>
        </w:rPr>
        <w:t>欧盟基金</w:t>
      </w:r>
      <w:r w:rsidR="00D00590">
        <w:rPr>
          <w:rFonts w:ascii="仿宋_GB2312" w:eastAsia="仿宋_GB2312" w:hint="eastAsia"/>
          <w:sz w:val="32"/>
          <w:szCs w:val="32"/>
        </w:rPr>
        <w:t>分为六大项目：</w:t>
      </w:r>
      <w:r w:rsidR="003B125D">
        <w:rPr>
          <w:rFonts w:ascii="仿宋_GB2312" w:eastAsia="仿宋_GB2312" w:hint="eastAsia"/>
          <w:sz w:val="32"/>
          <w:szCs w:val="32"/>
        </w:rPr>
        <w:t>欧洲地区发展基金（ERDF）、欧洲社会基金（ESF</w:t>
      </w:r>
      <w:r w:rsidR="003B125D">
        <w:rPr>
          <w:rFonts w:ascii="仿宋_GB2312" w:eastAsia="仿宋_GB2312"/>
          <w:sz w:val="32"/>
          <w:szCs w:val="32"/>
        </w:rPr>
        <w:t>）</w:t>
      </w:r>
      <w:r w:rsidR="003B125D">
        <w:rPr>
          <w:rFonts w:ascii="仿宋_GB2312" w:eastAsia="仿宋_GB2312" w:hint="eastAsia"/>
          <w:sz w:val="32"/>
          <w:szCs w:val="32"/>
        </w:rPr>
        <w:t>、欧洲团结基金（CF）、</w:t>
      </w:r>
      <w:bookmarkStart w:id="0" w:name="_Hlk488391878"/>
      <w:r w:rsidR="003B125D">
        <w:rPr>
          <w:rFonts w:ascii="仿宋_GB2312" w:eastAsia="仿宋_GB2312" w:hint="eastAsia"/>
          <w:sz w:val="32"/>
          <w:szCs w:val="32"/>
        </w:rPr>
        <w:t>欧洲农村发展</w:t>
      </w:r>
      <w:r>
        <w:rPr>
          <w:rFonts w:ascii="仿宋_GB2312" w:eastAsia="仿宋_GB2312" w:hint="eastAsia"/>
          <w:sz w:val="32"/>
          <w:szCs w:val="32"/>
        </w:rPr>
        <w:t>与</w:t>
      </w:r>
      <w:r w:rsidR="003B125D">
        <w:rPr>
          <w:rFonts w:ascii="仿宋_GB2312" w:eastAsia="仿宋_GB2312" w:hint="eastAsia"/>
          <w:sz w:val="32"/>
          <w:szCs w:val="32"/>
        </w:rPr>
        <w:t>农业基金</w:t>
      </w:r>
      <w:bookmarkEnd w:id="0"/>
      <w:r w:rsidR="003B125D">
        <w:rPr>
          <w:rFonts w:ascii="仿宋_GB2312" w:eastAsia="仿宋_GB2312" w:hint="eastAsia"/>
          <w:sz w:val="32"/>
          <w:szCs w:val="32"/>
        </w:rPr>
        <w:t>(EAFRD)、欧洲青年就业基金（YEI）和</w:t>
      </w:r>
      <w:bookmarkStart w:id="1" w:name="_Hlk488413818"/>
      <w:r w:rsidR="00D84376">
        <w:rPr>
          <w:rFonts w:ascii="仿宋_GB2312" w:eastAsia="仿宋_GB2312" w:hint="eastAsia"/>
          <w:sz w:val="32"/>
          <w:szCs w:val="32"/>
        </w:rPr>
        <w:t>欧洲海事和渔业基金</w:t>
      </w:r>
      <w:bookmarkEnd w:id="1"/>
      <w:r w:rsidR="00D84376">
        <w:rPr>
          <w:rFonts w:ascii="仿宋_GB2312" w:eastAsia="仿宋_GB2312" w:hint="eastAsia"/>
          <w:sz w:val="32"/>
          <w:szCs w:val="32"/>
        </w:rPr>
        <w:t>（EMFF）。</w:t>
      </w:r>
      <w:r w:rsidR="00BD3E61">
        <w:rPr>
          <w:rFonts w:ascii="仿宋_GB2312" w:eastAsia="仿宋_GB2312" w:hint="eastAsia"/>
          <w:sz w:val="32"/>
          <w:szCs w:val="32"/>
        </w:rPr>
        <w:t>在2014—2020七年财政规划中，</w:t>
      </w:r>
      <w:r w:rsidR="003B125D">
        <w:rPr>
          <w:rFonts w:ascii="仿宋_GB2312" w:eastAsia="仿宋_GB2312" w:hint="eastAsia"/>
          <w:sz w:val="32"/>
          <w:szCs w:val="32"/>
        </w:rPr>
        <w:t>欧洲地区发展基金为</w:t>
      </w:r>
      <w:r>
        <w:rPr>
          <w:rFonts w:ascii="仿宋_GB2312" w:eastAsia="仿宋_GB2312" w:hint="eastAsia"/>
          <w:sz w:val="32"/>
          <w:szCs w:val="32"/>
        </w:rPr>
        <w:t>1964</w:t>
      </w:r>
      <w:r w:rsidR="003B125D">
        <w:rPr>
          <w:rFonts w:ascii="仿宋_GB2312" w:eastAsia="仿宋_GB2312" w:hint="eastAsia"/>
          <w:sz w:val="32"/>
          <w:szCs w:val="32"/>
        </w:rPr>
        <w:t>亿欧元，</w:t>
      </w:r>
      <w:r>
        <w:rPr>
          <w:rFonts w:ascii="仿宋_GB2312" w:eastAsia="仿宋_GB2312" w:hint="eastAsia"/>
          <w:sz w:val="32"/>
          <w:szCs w:val="32"/>
        </w:rPr>
        <w:t>用于</w:t>
      </w:r>
      <w:r w:rsidR="003B125D">
        <w:rPr>
          <w:rFonts w:ascii="仿宋_GB2312" w:eastAsia="仿宋_GB2312" w:hint="eastAsia"/>
          <w:sz w:val="32"/>
          <w:szCs w:val="32"/>
        </w:rPr>
        <w:t>缩小欧盟地区</w:t>
      </w:r>
      <w:r>
        <w:rPr>
          <w:rFonts w:ascii="仿宋_GB2312" w:eastAsia="仿宋_GB2312" w:hint="eastAsia"/>
          <w:sz w:val="32"/>
          <w:szCs w:val="32"/>
        </w:rPr>
        <w:t>差距</w:t>
      </w:r>
      <w:r w:rsidR="003B125D">
        <w:rPr>
          <w:rFonts w:ascii="仿宋_GB2312" w:eastAsia="仿宋_GB2312" w:hint="eastAsia"/>
          <w:sz w:val="32"/>
          <w:szCs w:val="32"/>
        </w:rPr>
        <w:t>，</w:t>
      </w:r>
      <w:r>
        <w:rPr>
          <w:rFonts w:ascii="仿宋_GB2312" w:eastAsia="仿宋_GB2312" w:hint="eastAsia"/>
          <w:sz w:val="32"/>
          <w:szCs w:val="32"/>
        </w:rPr>
        <w:t>促进地区发展平衡，</w:t>
      </w:r>
      <w:r w:rsidR="003B125D">
        <w:rPr>
          <w:rFonts w:ascii="仿宋_GB2312" w:eastAsia="仿宋_GB2312" w:hint="eastAsia"/>
          <w:sz w:val="32"/>
          <w:szCs w:val="32"/>
        </w:rPr>
        <w:t>增强欧盟经济、社会和地区的凝聚力；欧盟社会基金为</w:t>
      </w:r>
      <w:r>
        <w:rPr>
          <w:rFonts w:ascii="仿宋_GB2312" w:eastAsia="仿宋_GB2312" w:hint="eastAsia"/>
          <w:sz w:val="32"/>
          <w:szCs w:val="32"/>
        </w:rPr>
        <w:t>831</w:t>
      </w:r>
      <w:r w:rsidR="003B125D">
        <w:rPr>
          <w:rFonts w:ascii="仿宋_GB2312" w:eastAsia="仿宋_GB2312" w:hint="eastAsia"/>
          <w:sz w:val="32"/>
          <w:szCs w:val="32"/>
        </w:rPr>
        <w:t>亿欧元，</w:t>
      </w:r>
      <w:r>
        <w:rPr>
          <w:rFonts w:ascii="仿宋_GB2312" w:eastAsia="仿宋_GB2312" w:hint="eastAsia"/>
          <w:sz w:val="32"/>
          <w:szCs w:val="32"/>
        </w:rPr>
        <w:t>用于</w:t>
      </w:r>
      <w:r w:rsidR="003B125D">
        <w:rPr>
          <w:rFonts w:ascii="仿宋_GB2312" w:eastAsia="仿宋_GB2312" w:hint="eastAsia"/>
          <w:sz w:val="32"/>
          <w:szCs w:val="32"/>
        </w:rPr>
        <w:t>提高欧盟成员国的就业率和教育机会；欧盟团结基金为</w:t>
      </w:r>
      <w:r>
        <w:rPr>
          <w:rFonts w:ascii="仿宋_GB2312" w:eastAsia="仿宋_GB2312" w:hint="eastAsia"/>
          <w:sz w:val="32"/>
          <w:szCs w:val="32"/>
        </w:rPr>
        <w:t>634</w:t>
      </w:r>
      <w:r w:rsidR="003B125D">
        <w:rPr>
          <w:rFonts w:ascii="仿宋_GB2312" w:eastAsia="仿宋_GB2312" w:hint="eastAsia"/>
          <w:sz w:val="32"/>
          <w:szCs w:val="32"/>
        </w:rPr>
        <w:t>亿欧元，为减少欧盟内部经济和社会差异而设立，通过大力投资</w:t>
      </w:r>
      <w:r w:rsidR="00BD3E61">
        <w:rPr>
          <w:rFonts w:ascii="仿宋_GB2312" w:eastAsia="仿宋_GB2312" w:hint="eastAsia"/>
          <w:sz w:val="32"/>
          <w:szCs w:val="32"/>
        </w:rPr>
        <w:t>交通基础设施和环境保护等领域来促进欧盟可持续发展；欧洲农村发展农业基金为</w:t>
      </w:r>
      <w:r>
        <w:rPr>
          <w:rFonts w:ascii="仿宋_GB2312" w:eastAsia="仿宋_GB2312" w:hint="eastAsia"/>
          <w:sz w:val="32"/>
          <w:szCs w:val="32"/>
        </w:rPr>
        <w:t>993</w:t>
      </w:r>
      <w:r w:rsidR="00BD3E61">
        <w:rPr>
          <w:rFonts w:ascii="仿宋_GB2312" w:eastAsia="仿宋_GB2312" w:hint="eastAsia"/>
          <w:sz w:val="32"/>
          <w:szCs w:val="32"/>
        </w:rPr>
        <w:t>亿欧元，目的是支持农业结构的转型升级，促进农村地区发展；青年就业基金为</w:t>
      </w:r>
      <w:r w:rsidR="00BD3E61">
        <w:rPr>
          <w:rFonts w:ascii="仿宋_GB2312" w:eastAsia="仿宋_GB2312" w:hint="eastAsia"/>
          <w:sz w:val="32"/>
          <w:szCs w:val="32"/>
        </w:rPr>
        <w:lastRenderedPageBreak/>
        <w:t>65亿欧元，该项基金为失业率高于25%的地区的青年提供扶持；欧洲海事和渔业基金为</w:t>
      </w:r>
      <w:r>
        <w:rPr>
          <w:rFonts w:ascii="仿宋_GB2312" w:eastAsia="仿宋_GB2312" w:hint="eastAsia"/>
          <w:sz w:val="32"/>
          <w:szCs w:val="32"/>
        </w:rPr>
        <w:t>57</w:t>
      </w:r>
      <w:r w:rsidR="00BD3E61">
        <w:rPr>
          <w:rFonts w:ascii="仿宋_GB2312" w:eastAsia="仿宋_GB2312" w:hint="eastAsia"/>
          <w:sz w:val="32"/>
          <w:szCs w:val="32"/>
        </w:rPr>
        <w:t>亿欧元，为支持欧盟成员国渔业的结构调整而设立。</w:t>
      </w:r>
    </w:p>
    <w:p w:rsidR="00EC7BC4" w:rsidRDefault="00BD3E61" w:rsidP="00CB0C15">
      <w:pPr>
        <w:ind w:firstLineChars="200" w:firstLine="640"/>
        <w:rPr>
          <w:rFonts w:ascii="仿宋_GB2312" w:eastAsia="仿宋_GB2312"/>
          <w:sz w:val="32"/>
          <w:szCs w:val="32"/>
        </w:rPr>
      </w:pPr>
      <w:r>
        <w:rPr>
          <w:rFonts w:ascii="仿宋_GB2312" w:eastAsia="仿宋_GB2312" w:hint="eastAsia"/>
          <w:sz w:val="32"/>
          <w:szCs w:val="32"/>
        </w:rPr>
        <w:t>截至2020</w:t>
      </w:r>
      <w:r w:rsidR="005D5474">
        <w:rPr>
          <w:rFonts w:ascii="仿宋_GB2312" w:eastAsia="仿宋_GB2312" w:hint="eastAsia"/>
          <w:sz w:val="32"/>
          <w:szCs w:val="32"/>
        </w:rPr>
        <w:t>年，欧盟计划将</w:t>
      </w:r>
      <w:r>
        <w:rPr>
          <w:rFonts w:ascii="仿宋_GB2312" w:eastAsia="仿宋_GB2312" w:hint="eastAsia"/>
          <w:sz w:val="32"/>
          <w:szCs w:val="32"/>
        </w:rPr>
        <w:t>近一半的预算（</w:t>
      </w:r>
      <w:r w:rsidR="00C61AEA">
        <w:rPr>
          <w:rFonts w:ascii="仿宋_GB2312" w:eastAsia="仿宋_GB2312" w:hint="eastAsia"/>
          <w:sz w:val="32"/>
          <w:szCs w:val="32"/>
        </w:rPr>
        <w:t>4544</w:t>
      </w:r>
      <w:r>
        <w:rPr>
          <w:rFonts w:ascii="仿宋_GB2312" w:eastAsia="仿宋_GB2312" w:hint="eastAsia"/>
          <w:sz w:val="32"/>
          <w:szCs w:val="32"/>
        </w:rPr>
        <w:t>亿欧元）通过上述途径投入到支持成员国的发展中。</w:t>
      </w:r>
      <w:r w:rsidR="00D50DE9">
        <w:rPr>
          <w:rFonts w:ascii="仿宋_GB2312" w:eastAsia="仿宋_GB2312" w:hint="eastAsia"/>
          <w:sz w:val="32"/>
          <w:szCs w:val="32"/>
        </w:rPr>
        <w:t>一</w:t>
      </w:r>
      <w:r w:rsidR="00EC7BC4">
        <w:rPr>
          <w:rFonts w:ascii="仿宋_GB2312" w:eastAsia="仿宋_GB2312" w:hint="eastAsia"/>
          <w:sz w:val="32"/>
          <w:szCs w:val="32"/>
        </w:rPr>
        <w:t>部分基金直接</w:t>
      </w:r>
      <w:r w:rsidR="00C61AEA">
        <w:rPr>
          <w:rFonts w:ascii="仿宋_GB2312" w:eastAsia="仿宋_GB2312" w:hint="eastAsia"/>
          <w:sz w:val="32"/>
          <w:szCs w:val="32"/>
        </w:rPr>
        <w:t>拨给了成员国地方</w:t>
      </w:r>
      <w:r w:rsidR="00D50DE9">
        <w:rPr>
          <w:rFonts w:ascii="仿宋_GB2312" w:eastAsia="仿宋_GB2312" w:hint="eastAsia"/>
          <w:sz w:val="32"/>
          <w:szCs w:val="32"/>
        </w:rPr>
        <w:t>政府</w:t>
      </w:r>
      <w:r w:rsidR="00C61AEA">
        <w:rPr>
          <w:rFonts w:ascii="仿宋_GB2312" w:eastAsia="仿宋_GB2312" w:hint="eastAsia"/>
          <w:sz w:val="32"/>
          <w:szCs w:val="32"/>
        </w:rPr>
        <w:t>（1963亿欧元）</w:t>
      </w:r>
      <w:r w:rsidR="00D50DE9">
        <w:rPr>
          <w:rFonts w:ascii="仿宋_GB2312" w:eastAsia="仿宋_GB2312" w:hint="eastAsia"/>
          <w:sz w:val="32"/>
          <w:szCs w:val="32"/>
        </w:rPr>
        <w:t>，一部分基金进入了</w:t>
      </w:r>
      <w:r w:rsidR="00C61AEA">
        <w:rPr>
          <w:rFonts w:ascii="仿宋_GB2312" w:eastAsia="仿宋_GB2312" w:hint="eastAsia"/>
          <w:sz w:val="32"/>
          <w:szCs w:val="32"/>
        </w:rPr>
        <w:t>成员国</w:t>
      </w:r>
      <w:r w:rsidR="00F316BE">
        <w:rPr>
          <w:rFonts w:ascii="仿宋_GB2312" w:eastAsia="仿宋_GB2312" w:hint="eastAsia"/>
          <w:sz w:val="32"/>
          <w:szCs w:val="32"/>
        </w:rPr>
        <w:t>政府下属</w:t>
      </w:r>
      <w:r w:rsidR="00C61AEA">
        <w:rPr>
          <w:rFonts w:ascii="仿宋_GB2312" w:eastAsia="仿宋_GB2312" w:hint="eastAsia"/>
          <w:sz w:val="32"/>
          <w:szCs w:val="32"/>
        </w:rPr>
        <w:t>专业机构（2581亿欧元），这些机构负责根据不同主体提出的项目申请要求来分配基金</w:t>
      </w:r>
      <w:r w:rsidR="00D50DE9">
        <w:rPr>
          <w:rFonts w:ascii="仿宋_GB2312" w:eastAsia="仿宋_GB2312" w:hint="eastAsia"/>
          <w:sz w:val="32"/>
          <w:szCs w:val="32"/>
        </w:rPr>
        <w:t>。</w:t>
      </w:r>
    </w:p>
    <w:p w:rsidR="00FF4D43" w:rsidRDefault="003929FD" w:rsidP="00CB0C15">
      <w:pPr>
        <w:ind w:firstLineChars="200" w:firstLine="640"/>
        <w:rPr>
          <w:rFonts w:ascii="仿宋_GB2312" w:eastAsia="仿宋_GB2312" w:hAnsi="微软雅黑" w:cs="微软雅黑"/>
          <w:sz w:val="32"/>
          <w:szCs w:val="32"/>
        </w:rPr>
      </w:pPr>
      <w:r>
        <w:rPr>
          <w:rFonts w:ascii="仿宋_GB2312" w:eastAsia="仿宋_GB2312" w:hint="eastAsia"/>
          <w:sz w:val="32"/>
          <w:szCs w:val="32"/>
        </w:rPr>
        <w:t>欧盟基金申请方面，</w:t>
      </w:r>
      <w:r w:rsidR="00E91D12">
        <w:rPr>
          <w:rFonts w:ascii="仿宋_GB2312" w:eastAsia="仿宋_GB2312" w:hint="eastAsia"/>
          <w:sz w:val="32"/>
          <w:szCs w:val="32"/>
        </w:rPr>
        <w:t>以下5</w:t>
      </w:r>
      <w:r>
        <w:rPr>
          <w:rFonts w:ascii="仿宋_GB2312" w:eastAsia="仿宋_GB2312" w:hint="eastAsia"/>
          <w:sz w:val="32"/>
          <w:szCs w:val="32"/>
        </w:rPr>
        <w:t>大群体</w:t>
      </w:r>
      <w:bookmarkStart w:id="2" w:name="_GoBack"/>
      <w:bookmarkEnd w:id="2"/>
      <w:r>
        <w:rPr>
          <w:rFonts w:ascii="仿宋_GB2312" w:eastAsia="仿宋_GB2312" w:hint="eastAsia"/>
          <w:sz w:val="32"/>
          <w:szCs w:val="32"/>
        </w:rPr>
        <w:t>有资格</w:t>
      </w:r>
      <w:r w:rsidR="00E91D12">
        <w:rPr>
          <w:rFonts w:ascii="仿宋_GB2312" w:eastAsia="仿宋_GB2312" w:hint="eastAsia"/>
          <w:sz w:val="32"/>
          <w:szCs w:val="32"/>
        </w:rPr>
        <w:t>申请欧盟基金：一是</w:t>
      </w:r>
      <w:r w:rsidR="006D30A4">
        <w:rPr>
          <w:rFonts w:ascii="仿宋_GB2312" w:eastAsia="仿宋_GB2312" w:hint="eastAsia"/>
          <w:sz w:val="32"/>
          <w:szCs w:val="32"/>
        </w:rPr>
        <w:t>中</w:t>
      </w:r>
      <w:r w:rsidR="00E91D12">
        <w:rPr>
          <w:rFonts w:ascii="仿宋_GB2312" w:eastAsia="仿宋_GB2312" w:hint="eastAsia"/>
          <w:sz w:val="32"/>
          <w:szCs w:val="32"/>
        </w:rPr>
        <w:t>小企业，它们可以通过补贴、贷款和担保来获得欧盟基金。</w:t>
      </w:r>
      <w:r w:rsidR="006D30A4">
        <w:rPr>
          <w:rFonts w:ascii="仿宋_GB2312" w:eastAsia="仿宋_GB2312" w:hint="eastAsia"/>
          <w:sz w:val="32"/>
          <w:szCs w:val="32"/>
        </w:rPr>
        <w:t>二是非政府组织和民间团体，只要它们在欧盟政策内从事非盈利活动就有资格申请基金；</w:t>
      </w:r>
      <w:r w:rsidR="00197BE7">
        <w:rPr>
          <w:rFonts w:ascii="仿宋_GB2312" w:eastAsia="仿宋_GB2312" w:hint="eastAsia"/>
          <w:sz w:val="32"/>
          <w:szCs w:val="32"/>
        </w:rPr>
        <w:t>三是得到Erasmus+项目教育和培训的青年人；四是研究人员，从2014年到2020年，欧盟将在以旗舰项目“地平线2020”（Horizon 2020）为主的研究领域投入近800亿欧元，研究人员</w:t>
      </w:r>
      <w:r w:rsidR="00197BE7">
        <w:rPr>
          <w:rFonts w:ascii="仿宋_GB2312" w:eastAsia="仿宋_GB2312" w:hAnsi="微软雅黑" w:cs="微软雅黑" w:hint="eastAsia"/>
          <w:sz w:val="32"/>
          <w:szCs w:val="32"/>
        </w:rPr>
        <w:t>可以申请补贴，来支持各种研发项目；五是农民和农村企业，欧盟绝大多数农民都有资格申请</w:t>
      </w:r>
      <w:r w:rsidR="00EA02FD">
        <w:rPr>
          <w:rFonts w:ascii="仿宋_GB2312" w:eastAsia="仿宋_GB2312" w:hAnsi="微软雅黑" w:cs="微软雅黑" w:hint="eastAsia"/>
          <w:sz w:val="32"/>
          <w:szCs w:val="32"/>
        </w:rPr>
        <w:t>直接补贴，补贴费用根据农民拥有的土地</w:t>
      </w:r>
      <w:r w:rsidR="0087460A">
        <w:rPr>
          <w:rFonts w:ascii="仿宋_GB2312" w:eastAsia="仿宋_GB2312" w:hAnsi="微软雅黑" w:cs="微软雅黑" w:hint="eastAsia"/>
          <w:sz w:val="32"/>
          <w:szCs w:val="32"/>
        </w:rPr>
        <w:t>面积</w:t>
      </w:r>
      <w:r w:rsidR="00EA02FD">
        <w:rPr>
          <w:rFonts w:ascii="仿宋_GB2312" w:eastAsia="仿宋_GB2312" w:hAnsi="微软雅黑" w:cs="微软雅黑" w:hint="eastAsia"/>
          <w:sz w:val="32"/>
          <w:szCs w:val="32"/>
        </w:rPr>
        <w:t>来定。另外，农民也可以从绿色农业，采用新技术</w:t>
      </w:r>
      <w:r w:rsidR="00606F0D">
        <w:rPr>
          <w:rFonts w:ascii="仿宋_GB2312" w:eastAsia="仿宋_GB2312" w:hAnsi="微软雅黑" w:cs="微软雅黑" w:hint="eastAsia"/>
          <w:sz w:val="32"/>
          <w:szCs w:val="32"/>
        </w:rPr>
        <w:t>中获得基金补贴。</w:t>
      </w:r>
    </w:p>
    <w:p w:rsidR="00606F0D" w:rsidRDefault="00606F0D" w:rsidP="00CB0C15">
      <w:pPr>
        <w:ind w:firstLineChars="200" w:firstLine="640"/>
        <w:rPr>
          <w:rFonts w:ascii="黑体" w:eastAsia="黑体" w:hAnsi="黑体"/>
          <w:sz w:val="32"/>
          <w:szCs w:val="32"/>
        </w:rPr>
      </w:pPr>
      <w:r w:rsidRPr="00606F0D">
        <w:rPr>
          <w:rFonts w:ascii="黑体" w:eastAsia="黑体" w:hAnsi="黑体" w:hint="eastAsia"/>
          <w:sz w:val="32"/>
          <w:szCs w:val="32"/>
        </w:rPr>
        <w:t>二、波兰获得欧盟基金情况</w:t>
      </w:r>
    </w:p>
    <w:p w:rsidR="00606F0D" w:rsidRDefault="00606F0D" w:rsidP="00CB0C15">
      <w:pPr>
        <w:ind w:firstLineChars="200" w:firstLine="640"/>
        <w:rPr>
          <w:rFonts w:ascii="仿宋_GB2312" w:eastAsia="仿宋_GB2312" w:hAnsi="黑体"/>
          <w:sz w:val="32"/>
          <w:szCs w:val="32"/>
        </w:rPr>
      </w:pPr>
      <w:r w:rsidRPr="00606F0D">
        <w:rPr>
          <w:rFonts w:ascii="仿宋_GB2312" w:eastAsia="仿宋_GB2312" w:hAnsi="黑体" w:hint="eastAsia"/>
          <w:sz w:val="32"/>
          <w:szCs w:val="32"/>
        </w:rPr>
        <w:t>2014</w:t>
      </w:r>
      <w:r>
        <w:rPr>
          <w:rFonts w:ascii="仿宋_GB2312" w:eastAsia="仿宋_GB2312" w:hAnsi="黑体" w:hint="eastAsia"/>
          <w:sz w:val="32"/>
          <w:szCs w:val="32"/>
        </w:rPr>
        <w:t>年—2020年</w:t>
      </w:r>
      <w:r w:rsidR="003929FD">
        <w:rPr>
          <w:rFonts w:ascii="仿宋_GB2312" w:eastAsia="仿宋_GB2312" w:hAnsi="黑体" w:hint="eastAsia"/>
          <w:sz w:val="32"/>
          <w:szCs w:val="32"/>
        </w:rPr>
        <w:t>欧盟基金</w:t>
      </w:r>
      <w:r>
        <w:rPr>
          <w:rFonts w:ascii="仿宋_GB2312" w:eastAsia="仿宋_GB2312" w:hAnsi="黑体" w:hint="eastAsia"/>
          <w:sz w:val="32"/>
          <w:szCs w:val="32"/>
        </w:rPr>
        <w:t>共</w:t>
      </w:r>
      <w:r w:rsidR="0087460A">
        <w:rPr>
          <w:rFonts w:ascii="仿宋_GB2312" w:eastAsia="仿宋_GB2312" w:hAnsi="黑体" w:hint="eastAsia"/>
          <w:sz w:val="32"/>
          <w:szCs w:val="32"/>
        </w:rPr>
        <w:t>4544</w:t>
      </w:r>
      <w:r>
        <w:rPr>
          <w:rFonts w:ascii="仿宋_GB2312" w:eastAsia="仿宋_GB2312" w:hAnsi="黑体" w:hint="eastAsia"/>
          <w:sz w:val="32"/>
          <w:szCs w:val="32"/>
        </w:rPr>
        <w:t>亿欧元，波兰是最大受益国，从中共获得861亿欧元，如下图所示：</w:t>
      </w:r>
    </w:p>
    <w:p w:rsidR="00606F0D" w:rsidRDefault="00606F0D" w:rsidP="00CB0C15">
      <w:pPr>
        <w:ind w:firstLineChars="200" w:firstLine="420"/>
        <w:rPr>
          <w:rFonts w:ascii="仿宋_GB2312" w:eastAsia="仿宋_GB2312" w:hAnsi="黑体"/>
          <w:sz w:val="32"/>
          <w:szCs w:val="32"/>
        </w:rPr>
      </w:pPr>
      <w:r>
        <w:rPr>
          <w:noProof/>
        </w:rPr>
        <w:lastRenderedPageBreak/>
        <w:drawing>
          <wp:inline distT="0" distB="0" distL="0" distR="0" wp14:anchorId="6E2B1041" wp14:editId="051B7CA9">
            <wp:extent cx="5274310" cy="3076681"/>
            <wp:effectExtent l="0" t="0" r="2540" b="952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A6949" w:rsidRDefault="00A20B2B" w:rsidP="00CB0C15">
      <w:pPr>
        <w:ind w:firstLineChars="200" w:firstLine="640"/>
        <w:rPr>
          <w:rFonts w:ascii="仿宋_GB2312" w:eastAsia="仿宋_GB2312"/>
          <w:sz w:val="32"/>
          <w:szCs w:val="32"/>
        </w:rPr>
      </w:pPr>
      <w:r>
        <w:rPr>
          <w:rFonts w:ascii="仿宋_GB2312" w:eastAsia="仿宋_GB2312" w:hAnsi="黑体" w:hint="eastAsia"/>
          <w:sz w:val="32"/>
          <w:szCs w:val="32"/>
        </w:rPr>
        <w:t>波兰将</w:t>
      </w:r>
      <w:r w:rsidR="008A6949">
        <w:rPr>
          <w:rFonts w:ascii="仿宋_GB2312" w:eastAsia="仿宋_GB2312" w:hAnsi="黑体" w:hint="eastAsia"/>
          <w:sz w:val="32"/>
          <w:szCs w:val="32"/>
        </w:rPr>
        <w:t>欧盟基金</w:t>
      </w:r>
      <w:r>
        <w:rPr>
          <w:rFonts w:ascii="仿宋_GB2312" w:eastAsia="仿宋_GB2312" w:hAnsi="黑体" w:hint="eastAsia"/>
          <w:sz w:val="32"/>
          <w:szCs w:val="32"/>
        </w:rPr>
        <w:t>具体</w:t>
      </w:r>
      <w:r w:rsidR="000818B9">
        <w:rPr>
          <w:rFonts w:ascii="仿宋_GB2312" w:eastAsia="仿宋_GB2312" w:hAnsi="黑体" w:hint="eastAsia"/>
          <w:sz w:val="32"/>
          <w:szCs w:val="32"/>
        </w:rPr>
        <w:t>划归到</w:t>
      </w:r>
      <w:r w:rsidR="008A6949">
        <w:rPr>
          <w:rFonts w:ascii="仿宋_GB2312" w:eastAsia="仿宋_GB2312" w:hAnsi="黑体" w:hint="eastAsia"/>
          <w:sz w:val="32"/>
          <w:szCs w:val="32"/>
        </w:rPr>
        <w:t>以下项目：一是基础设施与环境</w:t>
      </w:r>
      <w:r w:rsidR="003929FD">
        <w:rPr>
          <w:rFonts w:ascii="仿宋_GB2312" w:eastAsia="仿宋_GB2312" w:hAnsi="黑体" w:hint="eastAsia"/>
          <w:sz w:val="32"/>
          <w:szCs w:val="32"/>
        </w:rPr>
        <w:t>项目</w:t>
      </w:r>
      <w:r w:rsidR="008A6949">
        <w:rPr>
          <w:rFonts w:ascii="仿宋_GB2312" w:eastAsia="仿宋_GB2312" w:hAnsi="黑体" w:hint="eastAsia"/>
          <w:sz w:val="32"/>
          <w:szCs w:val="32"/>
        </w:rPr>
        <w:t>（274亿欧元），该项目的首要任务是发展低碳经济、加强环境保护，发展国家基础设施和保障能源安全；二是智慧增长项目</w:t>
      </w:r>
      <w:r w:rsidR="000818B9">
        <w:rPr>
          <w:rFonts w:ascii="仿宋_GB2312" w:eastAsia="仿宋_GB2312" w:hAnsi="黑体" w:hint="eastAsia"/>
          <w:sz w:val="32"/>
          <w:szCs w:val="32"/>
        </w:rPr>
        <w:t>（86亿欧元）</w:t>
      </w:r>
      <w:r w:rsidR="008A6949">
        <w:rPr>
          <w:rFonts w:ascii="仿宋_GB2312" w:eastAsia="仿宋_GB2312" w:hAnsi="黑体" w:hint="eastAsia"/>
          <w:sz w:val="32"/>
          <w:szCs w:val="32"/>
        </w:rPr>
        <w:t>，为波兰研发和创新提供财政支持；</w:t>
      </w:r>
      <w:r w:rsidR="000818B9">
        <w:rPr>
          <w:rFonts w:ascii="仿宋_GB2312" w:eastAsia="仿宋_GB2312" w:hAnsi="黑体" w:hint="eastAsia"/>
          <w:sz w:val="32"/>
          <w:szCs w:val="32"/>
        </w:rPr>
        <w:t>三是知识教育发展项目（47</w:t>
      </w:r>
      <w:r w:rsidR="005D5474">
        <w:rPr>
          <w:rFonts w:ascii="仿宋_GB2312" w:eastAsia="仿宋_GB2312" w:hAnsi="黑体" w:hint="eastAsia"/>
          <w:sz w:val="32"/>
          <w:szCs w:val="32"/>
        </w:rPr>
        <w:t>亿欧元），旨在激发</w:t>
      </w:r>
      <w:r w:rsidR="000818B9">
        <w:rPr>
          <w:rFonts w:ascii="仿宋_GB2312" w:eastAsia="仿宋_GB2312" w:hAnsi="黑体" w:hint="eastAsia"/>
          <w:sz w:val="32"/>
          <w:szCs w:val="32"/>
        </w:rPr>
        <w:t>30岁以下失业人群的潜力，支持高等教育，增强社会创新、社会流动性和跨界合作，贯彻实施就业、社会包容、教育、医疗卫生和高效治理等方面的改革措施。四是数字波兰项目（22亿欧元），</w:t>
      </w:r>
      <w:r w:rsidR="0091765F">
        <w:rPr>
          <w:rFonts w:ascii="仿宋_GB2312" w:eastAsia="仿宋_GB2312" w:hAnsi="黑体" w:hint="eastAsia"/>
          <w:sz w:val="32"/>
          <w:szCs w:val="32"/>
        </w:rPr>
        <w:t>目的是提高互联网普及率，建立便捷的电子化管理系统和提高</w:t>
      </w:r>
      <w:r w:rsidR="00095571">
        <w:rPr>
          <w:rFonts w:ascii="仿宋_GB2312" w:eastAsia="仿宋_GB2312" w:hAnsi="黑体" w:hint="eastAsia"/>
          <w:sz w:val="32"/>
          <w:szCs w:val="32"/>
        </w:rPr>
        <w:t>个人</w:t>
      </w:r>
      <w:r w:rsidR="0091765F">
        <w:rPr>
          <w:rFonts w:ascii="仿宋_GB2312" w:eastAsia="仿宋_GB2312" w:hAnsi="黑体" w:hint="eastAsia"/>
          <w:sz w:val="32"/>
          <w:szCs w:val="32"/>
        </w:rPr>
        <w:t>电脑操作能力。</w:t>
      </w:r>
      <w:r w:rsidR="00AE3E61">
        <w:rPr>
          <w:rFonts w:ascii="仿宋_GB2312" w:eastAsia="仿宋_GB2312" w:hAnsi="黑体" w:hint="eastAsia"/>
          <w:sz w:val="32"/>
          <w:szCs w:val="32"/>
        </w:rPr>
        <w:t>五是波兰东部发展项目（20亿欧元），该项目涉及波兰东部多个省份，旨在提升波兰东部大区域的竞争力和创造力。六是技术支持</w:t>
      </w:r>
      <w:r w:rsidR="00BD20A5">
        <w:rPr>
          <w:rFonts w:ascii="仿宋_GB2312" w:eastAsia="仿宋_GB2312" w:hAnsi="黑体" w:hint="eastAsia"/>
          <w:sz w:val="32"/>
          <w:szCs w:val="32"/>
        </w:rPr>
        <w:t>项目</w:t>
      </w:r>
      <w:r w:rsidR="00D84376">
        <w:rPr>
          <w:rFonts w:ascii="仿宋_GB2312" w:eastAsia="仿宋_GB2312" w:hAnsi="黑体" w:hint="eastAsia"/>
          <w:sz w:val="32"/>
          <w:szCs w:val="32"/>
        </w:rPr>
        <w:t>（7亿欧元），保证</w:t>
      </w:r>
      <w:r w:rsidR="00BE5D49">
        <w:rPr>
          <w:rFonts w:ascii="仿宋_GB2312" w:eastAsia="仿宋_GB2312" w:hAnsi="黑体" w:hint="eastAsia"/>
          <w:sz w:val="32"/>
          <w:szCs w:val="32"/>
        </w:rPr>
        <w:t>有关基金执行和监督</w:t>
      </w:r>
      <w:r w:rsidR="00D84376" w:rsidRPr="00D84376">
        <w:rPr>
          <w:rFonts w:ascii="仿宋_GB2312" w:eastAsia="仿宋_GB2312" w:hAnsi="黑体" w:hint="eastAsia"/>
          <w:sz w:val="32"/>
          <w:szCs w:val="32"/>
        </w:rPr>
        <w:t>机构</w:t>
      </w:r>
      <w:r w:rsidR="00BE5D49">
        <w:rPr>
          <w:rFonts w:ascii="仿宋_GB2312" w:eastAsia="仿宋_GB2312" w:hAnsi="黑体" w:hint="eastAsia"/>
          <w:sz w:val="32"/>
          <w:szCs w:val="32"/>
        </w:rPr>
        <w:t>的有效</w:t>
      </w:r>
      <w:r w:rsidR="00D84376">
        <w:rPr>
          <w:rFonts w:ascii="仿宋_GB2312" w:eastAsia="仿宋_GB2312" w:hAnsi="黑体" w:hint="eastAsia"/>
          <w:sz w:val="32"/>
          <w:szCs w:val="32"/>
        </w:rPr>
        <w:t>运行。七是地区项目（312亿欧元），每个省份都可以单独得到一份地区发展基金。八是</w:t>
      </w:r>
      <w:bookmarkStart w:id="3" w:name="_Hlk488766710"/>
      <w:r w:rsidR="00086C74">
        <w:rPr>
          <w:rFonts w:ascii="仿宋_GB2312" w:eastAsia="仿宋_GB2312" w:hint="eastAsia"/>
          <w:sz w:val="32"/>
          <w:szCs w:val="32"/>
        </w:rPr>
        <w:t>欧洲</w:t>
      </w:r>
      <w:r w:rsidR="00086C74">
        <w:rPr>
          <w:rFonts w:ascii="仿宋_GB2312" w:eastAsia="仿宋_GB2312" w:hint="eastAsia"/>
          <w:sz w:val="32"/>
          <w:szCs w:val="32"/>
        </w:rPr>
        <w:lastRenderedPageBreak/>
        <w:t>农村发展</w:t>
      </w:r>
      <w:r w:rsidR="0087460A">
        <w:rPr>
          <w:rFonts w:ascii="仿宋_GB2312" w:eastAsia="仿宋_GB2312" w:hint="eastAsia"/>
          <w:sz w:val="32"/>
          <w:szCs w:val="32"/>
        </w:rPr>
        <w:t>与</w:t>
      </w:r>
      <w:r w:rsidR="00086C74">
        <w:rPr>
          <w:rFonts w:ascii="仿宋_GB2312" w:eastAsia="仿宋_GB2312" w:hint="eastAsia"/>
          <w:sz w:val="32"/>
          <w:szCs w:val="32"/>
        </w:rPr>
        <w:t>农业</w:t>
      </w:r>
      <w:bookmarkEnd w:id="3"/>
      <w:r w:rsidR="00A41D95">
        <w:rPr>
          <w:rFonts w:ascii="仿宋_GB2312" w:eastAsia="仿宋_GB2312" w:hint="eastAsia"/>
          <w:sz w:val="32"/>
          <w:szCs w:val="32"/>
        </w:rPr>
        <w:t>基金</w:t>
      </w:r>
      <w:r w:rsidR="00D84376">
        <w:rPr>
          <w:rFonts w:ascii="仿宋_GB2312" w:eastAsia="仿宋_GB2312" w:hint="eastAsia"/>
          <w:sz w:val="32"/>
          <w:szCs w:val="32"/>
        </w:rPr>
        <w:t>（</w:t>
      </w:r>
      <w:r w:rsidR="003929FD">
        <w:rPr>
          <w:rFonts w:ascii="仿宋_GB2312" w:eastAsia="仿宋_GB2312" w:hint="eastAsia"/>
          <w:sz w:val="32"/>
          <w:szCs w:val="32"/>
        </w:rPr>
        <w:t>87</w:t>
      </w:r>
      <w:r w:rsidR="00D84376">
        <w:rPr>
          <w:rFonts w:ascii="仿宋_GB2312" w:eastAsia="仿宋_GB2312" w:hint="eastAsia"/>
          <w:sz w:val="32"/>
          <w:szCs w:val="32"/>
        </w:rPr>
        <w:t>亿欧元），</w:t>
      </w:r>
      <w:r>
        <w:rPr>
          <w:rFonts w:ascii="仿宋_GB2312" w:eastAsia="仿宋_GB2312" w:hint="eastAsia"/>
          <w:sz w:val="32"/>
          <w:szCs w:val="32"/>
        </w:rPr>
        <w:t>用于</w:t>
      </w:r>
      <w:r w:rsidR="00D84376">
        <w:rPr>
          <w:rFonts w:ascii="仿宋_GB2312" w:eastAsia="仿宋_GB2312" w:hint="eastAsia"/>
          <w:sz w:val="32"/>
          <w:szCs w:val="32"/>
        </w:rPr>
        <w:t>支持波兰农村</w:t>
      </w:r>
      <w:r>
        <w:rPr>
          <w:rFonts w:ascii="仿宋_GB2312" w:eastAsia="仿宋_GB2312" w:hint="eastAsia"/>
          <w:sz w:val="32"/>
          <w:szCs w:val="32"/>
        </w:rPr>
        <w:t>和农业</w:t>
      </w:r>
      <w:r w:rsidR="00D84376">
        <w:rPr>
          <w:rFonts w:ascii="仿宋_GB2312" w:eastAsia="仿宋_GB2312" w:hint="eastAsia"/>
          <w:sz w:val="32"/>
          <w:szCs w:val="32"/>
        </w:rPr>
        <w:t>发展</w:t>
      </w:r>
      <w:r>
        <w:rPr>
          <w:rFonts w:ascii="仿宋_GB2312" w:eastAsia="仿宋_GB2312" w:hint="eastAsia"/>
          <w:sz w:val="32"/>
          <w:szCs w:val="32"/>
        </w:rPr>
        <w:t>，由波兰农业重组和现代化局负责基金的分配</w:t>
      </w:r>
      <w:r w:rsidR="00D84376">
        <w:rPr>
          <w:rFonts w:ascii="仿宋_GB2312" w:eastAsia="仿宋_GB2312" w:hint="eastAsia"/>
          <w:sz w:val="32"/>
          <w:szCs w:val="32"/>
        </w:rPr>
        <w:t>。</w:t>
      </w:r>
      <w:r>
        <w:rPr>
          <w:rFonts w:ascii="仿宋_GB2312" w:eastAsia="仿宋_GB2312" w:hint="eastAsia"/>
          <w:sz w:val="32"/>
          <w:szCs w:val="32"/>
        </w:rPr>
        <w:t>九是欧洲海事和渔业基金</w:t>
      </w:r>
      <w:r w:rsidR="003929FD">
        <w:rPr>
          <w:rFonts w:ascii="仿宋_GB2312" w:eastAsia="仿宋_GB2312" w:hint="eastAsia"/>
          <w:sz w:val="32"/>
          <w:szCs w:val="32"/>
        </w:rPr>
        <w:t>（6亿欧元）</w:t>
      </w:r>
      <w:r>
        <w:rPr>
          <w:rFonts w:ascii="仿宋_GB2312" w:eastAsia="仿宋_GB2312" w:hint="eastAsia"/>
          <w:sz w:val="32"/>
          <w:szCs w:val="32"/>
        </w:rPr>
        <w:t>，目的是促进波兰渔业的改革和发展。</w:t>
      </w:r>
    </w:p>
    <w:p w:rsidR="00A20B2B" w:rsidRPr="00A20B2B" w:rsidRDefault="00A20B2B" w:rsidP="00CB0C15">
      <w:pPr>
        <w:ind w:firstLineChars="200" w:firstLine="640"/>
        <w:rPr>
          <w:rFonts w:ascii="黑体" w:eastAsia="黑体" w:hAnsi="黑体"/>
          <w:sz w:val="32"/>
          <w:szCs w:val="32"/>
        </w:rPr>
      </w:pPr>
      <w:r w:rsidRPr="00A20B2B">
        <w:rPr>
          <w:rFonts w:ascii="黑体" w:eastAsia="黑体" w:hAnsi="黑体" w:hint="eastAsia"/>
          <w:sz w:val="32"/>
          <w:szCs w:val="32"/>
        </w:rPr>
        <w:t>三、</w:t>
      </w:r>
      <w:r w:rsidR="00DF1604">
        <w:rPr>
          <w:rFonts w:ascii="黑体" w:eastAsia="黑体" w:hAnsi="黑体" w:hint="eastAsia"/>
          <w:sz w:val="32"/>
          <w:szCs w:val="32"/>
        </w:rPr>
        <w:t>欧盟基金对波兰经济的影响</w:t>
      </w:r>
    </w:p>
    <w:p w:rsidR="00A20B2B" w:rsidRDefault="00283D7E" w:rsidP="00CB0C15">
      <w:pPr>
        <w:ind w:firstLineChars="200" w:firstLine="640"/>
        <w:rPr>
          <w:rFonts w:ascii="仿宋_GB2312" w:eastAsia="仿宋_GB2312" w:hAnsi="黑体"/>
          <w:sz w:val="32"/>
          <w:szCs w:val="32"/>
        </w:rPr>
      </w:pPr>
      <w:r>
        <w:rPr>
          <w:rFonts w:ascii="仿宋_GB2312" w:eastAsia="仿宋_GB2312" w:hAnsi="黑体" w:hint="eastAsia"/>
          <w:sz w:val="32"/>
          <w:szCs w:val="32"/>
        </w:rPr>
        <w:t>波兰通过上一轮欧盟基金（2007年—2013年）</w:t>
      </w:r>
      <w:r w:rsidR="00A927B9">
        <w:rPr>
          <w:rFonts w:ascii="仿宋_GB2312" w:eastAsia="仿宋_GB2312" w:hAnsi="黑体" w:hint="eastAsia"/>
          <w:sz w:val="32"/>
          <w:szCs w:val="32"/>
        </w:rPr>
        <w:t>极大缩小了与</w:t>
      </w:r>
      <w:r>
        <w:rPr>
          <w:rFonts w:ascii="仿宋_GB2312" w:eastAsia="仿宋_GB2312" w:hAnsi="黑体" w:hint="eastAsia"/>
          <w:sz w:val="32"/>
          <w:szCs w:val="32"/>
        </w:rPr>
        <w:t>西欧国家的经济</w:t>
      </w:r>
      <w:r w:rsidR="00A927B9">
        <w:rPr>
          <w:rFonts w:ascii="仿宋_GB2312" w:eastAsia="仿宋_GB2312" w:hAnsi="黑体" w:hint="eastAsia"/>
          <w:sz w:val="32"/>
          <w:szCs w:val="32"/>
        </w:rPr>
        <w:t>发展差距</w:t>
      </w:r>
      <w:r>
        <w:rPr>
          <w:rFonts w:ascii="仿宋_GB2312" w:eastAsia="仿宋_GB2312" w:hAnsi="黑体" w:hint="eastAsia"/>
          <w:sz w:val="32"/>
          <w:szCs w:val="32"/>
        </w:rPr>
        <w:t>。</w:t>
      </w:r>
      <w:r w:rsidR="009944CE">
        <w:rPr>
          <w:rFonts w:ascii="仿宋_GB2312" w:eastAsia="仿宋_GB2312" w:hAnsi="黑体" w:hint="eastAsia"/>
          <w:sz w:val="32"/>
          <w:szCs w:val="32"/>
        </w:rPr>
        <w:t>在这七年中，</w:t>
      </w:r>
      <w:r>
        <w:rPr>
          <w:rFonts w:ascii="仿宋_GB2312" w:eastAsia="仿宋_GB2312" w:hAnsi="黑体" w:hint="eastAsia"/>
          <w:sz w:val="32"/>
          <w:szCs w:val="32"/>
        </w:rPr>
        <w:t>波兰</w:t>
      </w:r>
      <w:r w:rsidR="009944CE">
        <w:rPr>
          <w:rFonts w:ascii="仿宋_GB2312" w:eastAsia="仿宋_GB2312" w:hAnsi="黑体" w:hint="eastAsia"/>
          <w:sz w:val="32"/>
          <w:szCs w:val="32"/>
        </w:rPr>
        <w:t>共使用了572亿欧元基金，占欧盟拨给波兰经费的95%</w:t>
      </w:r>
      <w:r w:rsidR="00070B2D">
        <w:rPr>
          <w:rFonts w:ascii="仿宋_GB2312" w:eastAsia="仿宋_GB2312" w:hAnsi="黑体" w:hint="eastAsia"/>
          <w:sz w:val="32"/>
          <w:szCs w:val="32"/>
        </w:rPr>
        <w:t>，</w:t>
      </w:r>
      <w:r w:rsidR="0087460A">
        <w:rPr>
          <w:rFonts w:ascii="仿宋_GB2312" w:eastAsia="仿宋_GB2312" w:hAnsi="黑体" w:hint="eastAsia"/>
          <w:sz w:val="32"/>
          <w:szCs w:val="32"/>
        </w:rPr>
        <w:t>对经济与社会发展产生了积极推动作用，主要表现在以下几个方面</w:t>
      </w:r>
      <w:r w:rsidR="00070B2D">
        <w:rPr>
          <w:rFonts w:ascii="仿宋_GB2312" w:eastAsia="仿宋_GB2312" w:hAnsi="黑体" w:hint="eastAsia"/>
          <w:sz w:val="32"/>
          <w:szCs w:val="32"/>
        </w:rPr>
        <w:t>：一是增加就业和促进企业发展。</w:t>
      </w:r>
      <w:r w:rsidR="0087460A">
        <w:rPr>
          <w:rFonts w:ascii="仿宋_GB2312" w:eastAsia="仿宋_GB2312" w:hAnsi="黑体" w:hint="eastAsia"/>
          <w:sz w:val="32"/>
          <w:szCs w:val="32"/>
        </w:rPr>
        <w:t>在欧盟基金项目下</w:t>
      </w:r>
      <w:r w:rsidR="009944CE">
        <w:rPr>
          <w:rFonts w:ascii="仿宋_GB2312" w:eastAsia="仿宋_GB2312" w:hAnsi="黑体" w:hint="eastAsia"/>
          <w:sz w:val="32"/>
          <w:szCs w:val="32"/>
        </w:rPr>
        <w:t>创造了40多万</w:t>
      </w:r>
      <w:r w:rsidR="00C418C7">
        <w:rPr>
          <w:rFonts w:ascii="仿宋_GB2312" w:eastAsia="仿宋_GB2312" w:hAnsi="黑体" w:hint="eastAsia"/>
          <w:sz w:val="32"/>
          <w:szCs w:val="32"/>
        </w:rPr>
        <w:t>份工作、3万多家公司，</w:t>
      </w:r>
      <w:r w:rsidR="00A927B9">
        <w:rPr>
          <w:rFonts w:ascii="仿宋_GB2312" w:eastAsia="仿宋_GB2312" w:hAnsi="黑体" w:hint="eastAsia"/>
          <w:sz w:val="32"/>
          <w:szCs w:val="32"/>
        </w:rPr>
        <w:t>对</w:t>
      </w:r>
      <w:r w:rsidR="00C418C7">
        <w:rPr>
          <w:rFonts w:ascii="仿宋_GB2312" w:eastAsia="仿宋_GB2312" w:hAnsi="黑体" w:hint="eastAsia"/>
          <w:sz w:val="32"/>
          <w:szCs w:val="32"/>
        </w:rPr>
        <w:t>247家商业</w:t>
      </w:r>
      <w:r w:rsidR="00A927B9">
        <w:rPr>
          <w:rFonts w:ascii="仿宋_GB2312" w:eastAsia="仿宋_GB2312" w:hAnsi="黑体" w:hint="eastAsia"/>
          <w:sz w:val="32"/>
          <w:szCs w:val="32"/>
        </w:rPr>
        <w:t>促进</w:t>
      </w:r>
      <w:r w:rsidR="00C418C7">
        <w:rPr>
          <w:rFonts w:ascii="仿宋_GB2312" w:eastAsia="仿宋_GB2312" w:hAnsi="黑体" w:hint="eastAsia"/>
          <w:sz w:val="32"/>
          <w:szCs w:val="32"/>
        </w:rPr>
        <w:t>机构</w:t>
      </w:r>
      <w:r w:rsidR="00A927B9">
        <w:rPr>
          <w:rFonts w:ascii="仿宋_GB2312" w:eastAsia="仿宋_GB2312" w:hAnsi="黑体" w:hint="eastAsia"/>
          <w:sz w:val="32"/>
          <w:szCs w:val="32"/>
        </w:rPr>
        <w:t>进行</w:t>
      </w:r>
      <w:r w:rsidR="00070B2D">
        <w:rPr>
          <w:rFonts w:ascii="仿宋_GB2312" w:eastAsia="仿宋_GB2312" w:hAnsi="黑体" w:hint="eastAsia"/>
          <w:sz w:val="32"/>
          <w:szCs w:val="32"/>
        </w:rPr>
        <w:t>了财政支持。</w:t>
      </w:r>
      <w:r w:rsidR="00C418C7">
        <w:rPr>
          <w:rFonts w:ascii="仿宋_GB2312" w:eastAsia="仿宋_GB2312" w:hAnsi="黑体" w:hint="eastAsia"/>
          <w:sz w:val="32"/>
          <w:szCs w:val="32"/>
        </w:rPr>
        <w:t>二是</w:t>
      </w:r>
      <w:r w:rsidR="00B02123">
        <w:rPr>
          <w:rFonts w:ascii="仿宋_GB2312" w:eastAsia="仿宋_GB2312" w:hAnsi="黑体" w:hint="eastAsia"/>
          <w:sz w:val="32"/>
          <w:szCs w:val="32"/>
        </w:rPr>
        <w:t>支持</w:t>
      </w:r>
      <w:r w:rsidR="00070B2D">
        <w:rPr>
          <w:rFonts w:ascii="仿宋_GB2312" w:eastAsia="仿宋_GB2312" w:hAnsi="黑体" w:hint="eastAsia"/>
          <w:sz w:val="32"/>
          <w:szCs w:val="32"/>
        </w:rPr>
        <w:t>研发领域。</w:t>
      </w:r>
      <w:r w:rsidR="00C418C7">
        <w:rPr>
          <w:rFonts w:ascii="仿宋_GB2312" w:eastAsia="仿宋_GB2312" w:hAnsi="黑体" w:hint="eastAsia"/>
          <w:sz w:val="32"/>
          <w:szCs w:val="32"/>
        </w:rPr>
        <w:t>1414所大学，653个研究中心和2921个实验室得到了资金支持，催生了2921个创新理念和3685</w:t>
      </w:r>
      <w:r w:rsidR="00070B2D">
        <w:rPr>
          <w:rFonts w:ascii="仿宋_GB2312" w:eastAsia="仿宋_GB2312" w:hAnsi="黑体" w:hint="eastAsia"/>
          <w:sz w:val="32"/>
          <w:szCs w:val="32"/>
        </w:rPr>
        <w:t>项应用技术。</w:t>
      </w:r>
      <w:r w:rsidR="008B730C">
        <w:rPr>
          <w:rFonts w:ascii="仿宋_GB2312" w:eastAsia="仿宋_GB2312" w:hAnsi="黑体" w:hint="eastAsia"/>
          <w:sz w:val="32"/>
          <w:szCs w:val="32"/>
        </w:rPr>
        <w:t>三是</w:t>
      </w:r>
      <w:r w:rsidR="00B02123">
        <w:rPr>
          <w:rFonts w:ascii="仿宋_GB2312" w:eastAsia="仿宋_GB2312" w:hAnsi="黑体" w:hint="eastAsia"/>
          <w:sz w:val="32"/>
          <w:szCs w:val="32"/>
        </w:rPr>
        <w:t>打造</w:t>
      </w:r>
      <w:r w:rsidR="00070B2D">
        <w:rPr>
          <w:rFonts w:ascii="仿宋_GB2312" w:eastAsia="仿宋_GB2312" w:hAnsi="黑体" w:hint="eastAsia"/>
          <w:sz w:val="32"/>
          <w:szCs w:val="32"/>
        </w:rPr>
        <w:t>信息社会。</w:t>
      </w:r>
      <w:r w:rsidR="008B730C">
        <w:rPr>
          <w:rFonts w:ascii="仿宋_GB2312" w:eastAsia="仿宋_GB2312" w:hAnsi="黑体" w:hint="eastAsia"/>
          <w:sz w:val="32"/>
          <w:szCs w:val="32"/>
        </w:rPr>
        <w:t>通过该项目，波兰建设了5.7万公里的宽带互联网</w:t>
      </w:r>
      <w:r w:rsidR="00AA12C3">
        <w:rPr>
          <w:rFonts w:ascii="仿宋_GB2312" w:eastAsia="仿宋_GB2312" w:hAnsi="黑体" w:hint="eastAsia"/>
          <w:sz w:val="32"/>
          <w:szCs w:val="32"/>
        </w:rPr>
        <w:t>，为23万多个家庭接通互联网，发展了5647</w:t>
      </w:r>
      <w:r w:rsidR="00070B2D">
        <w:rPr>
          <w:rFonts w:ascii="仿宋_GB2312" w:eastAsia="仿宋_GB2312" w:hAnsi="黑体" w:hint="eastAsia"/>
          <w:sz w:val="32"/>
          <w:szCs w:val="32"/>
        </w:rPr>
        <w:t>项网上服务。</w:t>
      </w:r>
      <w:r w:rsidR="00AA12C3">
        <w:rPr>
          <w:rFonts w:ascii="仿宋_GB2312" w:eastAsia="仿宋_GB2312" w:hAnsi="黑体" w:hint="eastAsia"/>
          <w:sz w:val="32"/>
          <w:szCs w:val="32"/>
        </w:rPr>
        <w:t>四是</w:t>
      </w:r>
      <w:r w:rsidR="00B02123">
        <w:rPr>
          <w:rFonts w:ascii="仿宋_GB2312" w:eastAsia="仿宋_GB2312" w:hAnsi="黑体" w:hint="eastAsia"/>
          <w:sz w:val="32"/>
          <w:szCs w:val="32"/>
        </w:rPr>
        <w:t>建设</w:t>
      </w:r>
      <w:r w:rsidR="00AA12C3">
        <w:rPr>
          <w:rFonts w:ascii="仿宋_GB2312" w:eastAsia="仿宋_GB2312" w:hAnsi="黑体" w:hint="eastAsia"/>
          <w:sz w:val="32"/>
          <w:szCs w:val="32"/>
        </w:rPr>
        <w:t>交通</w:t>
      </w:r>
      <w:r w:rsidR="00B02123">
        <w:rPr>
          <w:rFonts w:ascii="仿宋_GB2312" w:eastAsia="仿宋_GB2312" w:hAnsi="黑体" w:hint="eastAsia"/>
          <w:sz w:val="32"/>
          <w:szCs w:val="32"/>
        </w:rPr>
        <w:t>基础</w:t>
      </w:r>
      <w:r w:rsidR="00070B2D">
        <w:rPr>
          <w:rFonts w:ascii="仿宋_GB2312" w:eastAsia="仿宋_GB2312" w:hAnsi="黑体" w:hint="eastAsia"/>
          <w:sz w:val="32"/>
          <w:szCs w:val="32"/>
        </w:rPr>
        <w:t>设施。</w:t>
      </w:r>
      <w:r w:rsidR="00AA12C3">
        <w:rPr>
          <w:rFonts w:ascii="仿宋_GB2312" w:eastAsia="仿宋_GB2312" w:hAnsi="黑体" w:hint="eastAsia"/>
          <w:sz w:val="32"/>
          <w:szCs w:val="32"/>
        </w:rPr>
        <w:t>波兰建设了1.2万多公里高速公路、国家级和省市级道路，</w:t>
      </w:r>
      <w:r w:rsidR="00786A27">
        <w:rPr>
          <w:rFonts w:ascii="仿宋_GB2312" w:eastAsia="仿宋_GB2312" w:hAnsi="黑体" w:hint="eastAsia"/>
          <w:sz w:val="32"/>
          <w:szCs w:val="32"/>
        </w:rPr>
        <w:t>建设和翻修了1566公里铁路，购买和翻新了2947辆公交车辆。五是</w:t>
      </w:r>
      <w:r w:rsidR="00B02123">
        <w:rPr>
          <w:rFonts w:ascii="仿宋_GB2312" w:eastAsia="仿宋_GB2312" w:hAnsi="黑体" w:hint="eastAsia"/>
          <w:sz w:val="32"/>
          <w:szCs w:val="32"/>
        </w:rPr>
        <w:t>加强</w:t>
      </w:r>
      <w:r w:rsidR="00786A27">
        <w:rPr>
          <w:rFonts w:ascii="仿宋_GB2312" w:eastAsia="仿宋_GB2312" w:hAnsi="黑体" w:hint="eastAsia"/>
          <w:sz w:val="32"/>
          <w:szCs w:val="32"/>
        </w:rPr>
        <w:t>环境保护。波兰建设了522座污水处理厂，建设和翻新了2.4万多公里</w:t>
      </w:r>
      <w:r w:rsidR="00B02123">
        <w:rPr>
          <w:rFonts w:ascii="仿宋_GB2312" w:eastAsia="仿宋_GB2312" w:hAnsi="黑体" w:hint="eastAsia"/>
          <w:sz w:val="32"/>
          <w:szCs w:val="32"/>
        </w:rPr>
        <w:t>下水管道</w:t>
      </w:r>
      <w:r w:rsidR="00786A27">
        <w:rPr>
          <w:rFonts w:ascii="仿宋_GB2312" w:eastAsia="仿宋_GB2312" w:hAnsi="黑体" w:hint="eastAsia"/>
          <w:sz w:val="32"/>
          <w:szCs w:val="32"/>
        </w:rPr>
        <w:t>和7188公里自来水网络，投资了710项可再生能源项目和1811项提升能源利用效率项目。</w:t>
      </w:r>
    </w:p>
    <w:p w:rsidR="006D5EEA" w:rsidRDefault="00DF1604" w:rsidP="00CB0C15">
      <w:pPr>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根据欧盟委员会2014年的报告，从2007年到2013年，欧盟基金每年拉动波兰G</w:t>
      </w:r>
      <w:r>
        <w:rPr>
          <w:rFonts w:ascii="仿宋_GB2312" w:eastAsia="仿宋_GB2312" w:hAnsi="黑体"/>
          <w:sz w:val="32"/>
          <w:szCs w:val="32"/>
        </w:rPr>
        <w:t>DP</w:t>
      </w:r>
      <w:r>
        <w:rPr>
          <w:rFonts w:ascii="仿宋_GB2312" w:eastAsia="仿宋_GB2312" w:hAnsi="黑体" w:hint="eastAsia"/>
          <w:sz w:val="32"/>
          <w:szCs w:val="32"/>
        </w:rPr>
        <w:t>增长1.7%，这种影响将持续到2022年。欧盟基金在波兰的投资增强了波兰的竞争力。</w:t>
      </w:r>
      <w:r w:rsidR="002301B2">
        <w:rPr>
          <w:rFonts w:ascii="仿宋_GB2312" w:eastAsia="仿宋_GB2312" w:hAnsi="黑体" w:hint="eastAsia"/>
          <w:sz w:val="32"/>
          <w:szCs w:val="32"/>
        </w:rPr>
        <w:t>但也有一些不同的声音。2013年的公民发展论坛发布了一份报告，认为欧盟基金拖慢了波兰最不发达地区的发展，基金也没有用到需要的地方，例如，电子化公共管理基金只占波兰欧盟基金的0.8%。</w:t>
      </w:r>
    </w:p>
    <w:p w:rsidR="002301B2" w:rsidRDefault="002301B2" w:rsidP="00CB0C15">
      <w:pPr>
        <w:ind w:firstLineChars="200" w:firstLine="640"/>
        <w:rPr>
          <w:rFonts w:ascii="仿宋_GB2312" w:eastAsia="仿宋_GB2312" w:hAnsi="黑体"/>
          <w:sz w:val="32"/>
          <w:szCs w:val="32"/>
        </w:rPr>
      </w:pPr>
      <w:r>
        <w:rPr>
          <w:rFonts w:ascii="仿宋_GB2312" w:eastAsia="仿宋_GB2312" w:hAnsi="黑体" w:hint="eastAsia"/>
          <w:sz w:val="32"/>
          <w:szCs w:val="32"/>
        </w:rPr>
        <w:t>波兰发展部的一项研究显示，欧盟基金在2005年到2011年期间对波兰G</w:t>
      </w:r>
      <w:r>
        <w:rPr>
          <w:rFonts w:ascii="仿宋_GB2312" w:eastAsia="仿宋_GB2312" w:hAnsi="黑体"/>
          <w:sz w:val="32"/>
          <w:szCs w:val="32"/>
        </w:rPr>
        <w:t>DP</w:t>
      </w:r>
      <w:r>
        <w:rPr>
          <w:rFonts w:ascii="仿宋_GB2312" w:eastAsia="仿宋_GB2312" w:hAnsi="黑体" w:hint="eastAsia"/>
          <w:sz w:val="32"/>
          <w:szCs w:val="32"/>
        </w:rPr>
        <w:t>增长的</w:t>
      </w:r>
      <w:proofErr w:type="gramStart"/>
      <w:r>
        <w:rPr>
          <w:rFonts w:ascii="仿宋_GB2312" w:eastAsia="仿宋_GB2312" w:hAnsi="黑体" w:hint="eastAsia"/>
          <w:sz w:val="32"/>
          <w:szCs w:val="32"/>
        </w:rPr>
        <w:t>拉动率</w:t>
      </w:r>
      <w:proofErr w:type="gramEnd"/>
      <w:r>
        <w:rPr>
          <w:rFonts w:ascii="仿宋_GB2312" w:eastAsia="仿宋_GB2312" w:hAnsi="黑体" w:hint="eastAsia"/>
          <w:sz w:val="32"/>
          <w:szCs w:val="32"/>
        </w:rPr>
        <w:t>在0.5%和0.7%之间。2014年，奥地利第一储蓄银行（</w:t>
      </w:r>
      <w:proofErr w:type="spellStart"/>
      <w:r>
        <w:rPr>
          <w:rFonts w:ascii="仿宋_GB2312" w:eastAsia="仿宋_GB2312" w:hAnsi="黑体" w:hint="eastAsia"/>
          <w:sz w:val="32"/>
          <w:szCs w:val="32"/>
        </w:rPr>
        <w:t>E</w:t>
      </w:r>
      <w:r>
        <w:rPr>
          <w:rFonts w:ascii="仿宋_GB2312" w:eastAsia="仿宋_GB2312" w:hAnsi="黑体"/>
          <w:sz w:val="32"/>
          <w:szCs w:val="32"/>
        </w:rPr>
        <w:t>rste</w:t>
      </w:r>
      <w:proofErr w:type="spellEnd"/>
      <w:r>
        <w:rPr>
          <w:rFonts w:ascii="仿宋_GB2312" w:eastAsia="仿宋_GB2312" w:hAnsi="黑体"/>
          <w:sz w:val="32"/>
          <w:szCs w:val="32"/>
        </w:rPr>
        <w:t xml:space="preserve"> Group</w:t>
      </w:r>
      <w:r>
        <w:rPr>
          <w:rFonts w:ascii="仿宋_GB2312" w:eastAsia="仿宋_GB2312" w:hAnsi="黑体" w:hint="eastAsia"/>
          <w:sz w:val="32"/>
          <w:szCs w:val="32"/>
        </w:rPr>
        <w:t>）对当前</w:t>
      </w:r>
      <w:r w:rsidR="00964984">
        <w:rPr>
          <w:rFonts w:ascii="仿宋_GB2312" w:eastAsia="仿宋_GB2312" w:hAnsi="黑体" w:hint="eastAsia"/>
          <w:sz w:val="32"/>
          <w:szCs w:val="32"/>
        </w:rPr>
        <w:t>一轮（2014年—2020年）欧盟基金对波兰G</w:t>
      </w:r>
      <w:r w:rsidR="00964984">
        <w:rPr>
          <w:rFonts w:ascii="仿宋_GB2312" w:eastAsia="仿宋_GB2312" w:hAnsi="黑体"/>
          <w:sz w:val="32"/>
          <w:szCs w:val="32"/>
        </w:rPr>
        <w:t>DP</w:t>
      </w:r>
      <w:r w:rsidR="00964984">
        <w:rPr>
          <w:rFonts w:ascii="仿宋_GB2312" w:eastAsia="仿宋_GB2312" w:hAnsi="黑体" w:hint="eastAsia"/>
          <w:sz w:val="32"/>
          <w:szCs w:val="32"/>
        </w:rPr>
        <w:t>影响进行了预估，结果表明欧盟基金对波兰G</w:t>
      </w:r>
      <w:r w:rsidR="00964984">
        <w:rPr>
          <w:rFonts w:ascii="仿宋_GB2312" w:eastAsia="仿宋_GB2312" w:hAnsi="黑体"/>
          <w:sz w:val="32"/>
          <w:szCs w:val="32"/>
        </w:rPr>
        <w:t>DP</w:t>
      </w:r>
      <w:proofErr w:type="gramStart"/>
      <w:r w:rsidR="00964984">
        <w:rPr>
          <w:rFonts w:ascii="仿宋_GB2312" w:eastAsia="仿宋_GB2312" w:hAnsi="黑体" w:hint="eastAsia"/>
          <w:sz w:val="32"/>
          <w:szCs w:val="32"/>
        </w:rPr>
        <w:t>拉动率</w:t>
      </w:r>
      <w:proofErr w:type="gramEnd"/>
      <w:r w:rsidR="00964984">
        <w:rPr>
          <w:rFonts w:ascii="仿宋_GB2312" w:eastAsia="仿宋_GB2312" w:hAnsi="黑体" w:hint="eastAsia"/>
          <w:sz w:val="32"/>
          <w:szCs w:val="32"/>
        </w:rPr>
        <w:t>为0.5%，意味着如果没有欧盟基金的扶持，波兰的G</w:t>
      </w:r>
      <w:r w:rsidR="00964984">
        <w:rPr>
          <w:rFonts w:ascii="仿宋_GB2312" w:eastAsia="仿宋_GB2312" w:hAnsi="黑体"/>
          <w:sz w:val="32"/>
          <w:szCs w:val="32"/>
        </w:rPr>
        <w:t>DP</w:t>
      </w:r>
      <w:r w:rsidR="00964984">
        <w:rPr>
          <w:rFonts w:ascii="仿宋_GB2312" w:eastAsia="仿宋_GB2312" w:hAnsi="黑体" w:hint="eastAsia"/>
          <w:sz w:val="32"/>
          <w:szCs w:val="32"/>
        </w:rPr>
        <w:t>平均增长率将会由3.6%下降到3.1%。而欧盟委员会则认为本轮欧盟基金对波兰G</w:t>
      </w:r>
      <w:r w:rsidR="00964984">
        <w:rPr>
          <w:rFonts w:ascii="仿宋_GB2312" w:eastAsia="仿宋_GB2312" w:hAnsi="黑体"/>
          <w:sz w:val="32"/>
          <w:szCs w:val="32"/>
        </w:rPr>
        <w:t>DP</w:t>
      </w:r>
      <w:r w:rsidR="00964984">
        <w:rPr>
          <w:rFonts w:ascii="仿宋_GB2312" w:eastAsia="仿宋_GB2312" w:hAnsi="黑体" w:hint="eastAsia"/>
          <w:sz w:val="32"/>
          <w:szCs w:val="32"/>
        </w:rPr>
        <w:t>增长</w:t>
      </w:r>
      <w:proofErr w:type="gramStart"/>
      <w:r w:rsidR="00964984">
        <w:rPr>
          <w:rFonts w:ascii="仿宋_GB2312" w:eastAsia="仿宋_GB2312" w:hAnsi="黑体" w:hint="eastAsia"/>
          <w:sz w:val="32"/>
          <w:szCs w:val="32"/>
        </w:rPr>
        <w:t>拉动率</w:t>
      </w:r>
      <w:proofErr w:type="gramEnd"/>
      <w:r w:rsidR="00964984">
        <w:rPr>
          <w:rFonts w:ascii="仿宋_GB2312" w:eastAsia="仿宋_GB2312" w:hAnsi="黑体" w:hint="eastAsia"/>
          <w:sz w:val="32"/>
          <w:szCs w:val="32"/>
        </w:rPr>
        <w:t>为2.3%。</w:t>
      </w:r>
    </w:p>
    <w:p w:rsidR="00964984" w:rsidRPr="00964984" w:rsidRDefault="00964984" w:rsidP="00CB0C15">
      <w:pPr>
        <w:ind w:firstLineChars="200" w:firstLine="640"/>
        <w:rPr>
          <w:rFonts w:ascii="黑体" w:eastAsia="黑体" w:hAnsi="黑体"/>
          <w:sz w:val="32"/>
          <w:szCs w:val="32"/>
        </w:rPr>
      </w:pPr>
      <w:r w:rsidRPr="00964984">
        <w:rPr>
          <w:rFonts w:ascii="黑体" w:eastAsia="黑体" w:hAnsi="黑体" w:hint="eastAsia"/>
          <w:sz w:val="32"/>
          <w:szCs w:val="32"/>
        </w:rPr>
        <w:t>四、外企申请波兰欧盟基金情况</w:t>
      </w:r>
    </w:p>
    <w:p w:rsidR="00964984" w:rsidRDefault="00642ECA" w:rsidP="00CB0C15">
      <w:pPr>
        <w:ind w:firstLineChars="200" w:firstLine="640"/>
        <w:rPr>
          <w:rFonts w:ascii="仿宋_GB2312" w:eastAsia="仿宋_GB2312" w:hAnsi="黑体"/>
          <w:sz w:val="32"/>
          <w:szCs w:val="32"/>
        </w:rPr>
      </w:pPr>
      <w:r>
        <w:rPr>
          <w:rFonts w:ascii="仿宋_GB2312" w:eastAsia="仿宋_GB2312" w:hAnsi="黑体" w:hint="eastAsia"/>
          <w:sz w:val="32"/>
          <w:szCs w:val="32"/>
        </w:rPr>
        <w:t>在波兰生活和</w:t>
      </w:r>
      <w:r w:rsidR="0087460A">
        <w:rPr>
          <w:rFonts w:ascii="仿宋_GB2312" w:eastAsia="仿宋_GB2312" w:hAnsi="黑体" w:hint="eastAsia"/>
          <w:sz w:val="32"/>
          <w:szCs w:val="32"/>
        </w:rPr>
        <w:t>经商</w:t>
      </w:r>
      <w:r>
        <w:rPr>
          <w:rFonts w:ascii="仿宋_GB2312" w:eastAsia="仿宋_GB2312" w:hAnsi="黑体" w:hint="eastAsia"/>
          <w:sz w:val="32"/>
          <w:szCs w:val="32"/>
        </w:rPr>
        <w:t>的外国人以及</w:t>
      </w:r>
      <w:r w:rsidRPr="00642ECA">
        <w:rPr>
          <w:rFonts w:ascii="仿宋_GB2312" w:eastAsia="仿宋_GB2312" w:hAnsi="黑体" w:hint="eastAsia"/>
          <w:sz w:val="32"/>
          <w:szCs w:val="32"/>
        </w:rPr>
        <w:t>外国公司在波兰的</w:t>
      </w:r>
      <w:r>
        <w:rPr>
          <w:rFonts w:ascii="仿宋_GB2312" w:eastAsia="仿宋_GB2312" w:hAnsi="黑体" w:hint="eastAsia"/>
          <w:sz w:val="32"/>
          <w:szCs w:val="32"/>
        </w:rPr>
        <w:t>分公司</w:t>
      </w:r>
      <w:r w:rsidR="0087460A">
        <w:rPr>
          <w:rFonts w:ascii="仿宋_GB2312" w:eastAsia="仿宋_GB2312" w:hAnsi="黑体" w:hint="eastAsia"/>
          <w:sz w:val="32"/>
          <w:szCs w:val="32"/>
        </w:rPr>
        <w:t>，</w:t>
      </w:r>
      <w:r w:rsidR="0087460A" w:rsidRPr="0087460A">
        <w:rPr>
          <w:rFonts w:ascii="仿宋_GB2312" w:eastAsia="仿宋_GB2312" w:hAnsi="黑体" w:hint="eastAsia"/>
          <w:sz w:val="32"/>
          <w:szCs w:val="32"/>
        </w:rPr>
        <w:t>只需要满足波兰欧盟基金任何一个项目的要求以及在波兰中央商业注册与信息局进行注册后就</w:t>
      </w:r>
      <w:r w:rsidR="0087460A">
        <w:rPr>
          <w:rFonts w:ascii="仿宋_GB2312" w:eastAsia="仿宋_GB2312" w:hAnsi="黑体" w:hint="eastAsia"/>
          <w:sz w:val="32"/>
          <w:szCs w:val="32"/>
        </w:rPr>
        <w:t>有资格申请欧盟基金</w:t>
      </w:r>
      <w:r w:rsidR="00EC5C0A">
        <w:rPr>
          <w:rFonts w:ascii="仿宋_GB2312" w:eastAsia="仿宋_GB2312" w:hAnsi="黑体" w:hint="eastAsia"/>
          <w:sz w:val="32"/>
          <w:szCs w:val="32"/>
        </w:rPr>
        <w:t>，与波兰本地公司享受同样的待遇。</w:t>
      </w:r>
    </w:p>
    <w:p w:rsidR="00A1473E" w:rsidRDefault="00A1473E" w:rsidP="00CB0C15">
      <w:pPr>
        <w:ind w:firstLineChars="200" w:firstLine="640"/>
        <w:rPr>
          <w:rFonts w:ascii="仿宋_GB2312" w:eastAsia="仿宋_GB2312" w:hAnsi="黑体"/>
          <w:sz w:val="32"/>
          <w:szCs w:val="32"/>
        </w:rPr>
      </w:pPr>
      <w:r>
        <w:rPr>
          <w:rFonts w:ascii="仿宋_GB2312" w:eastAsia="仿宋_GB2312" w:hAnsi="黑体" w:hint="eastAsia"/>
          <w:sz w:val="32"/>
          <w:szCs w:val="32"/>
        </w:rPr>
        <w:t>如果企业或个人想申请欧盟基金支持，首先需要了解适合申请哪个项目。波兰的欧盟基金的9个项目中，</w:t>
      </w:r>
      <w:r w:rsidR="00BE5D49">
        <w:rPr>
          <w:rFonts w:ascii="仿宋_GB2312" w:eastAsia="仿宋_GB2312" w:hAnsi="黑体" w:hint="eastAsia"/>
          <w:sz w:val="32"/>
          <w:szCs w:val="32"/>
        </w:rPr>
        <w:t>由于技术</w:t>
      </w:r>
      <w:r w:rsidR="00BE5D49">
        <w:rPr>
          <w:rFonts w:ascii="仿宋_GB2312" w:eastAsia="仿宋_GB2312" w:hAnsi="黑体" w:hint="eastAsia"/>
          <w:sz w:val="32"/>
          <w:szCs w:val="32"/>
        </w:rPr>
        <w:lastRenderedPageBreak/>
        <w:t>支持项目只对国家有关机构开放，企业和个人只能申请其中的8个项目。波兰主要有4家机构负责管理这8个项目的基金申请：一是波兰企业发展局（P</w:t>
      </w:r>
      <w:r w:rsidR="00BE5D49">
        <w:rPr>
          <w:rFonts w:ascii="仿宋_GB2312" w:eastAsia="仿宋_GB2312" w:hAnsi="黑体"/>
          <w:sz w:val="32"/>
          <w:szCs w:val="32"/>
        </w:rPr>
        <w:t>ARP</w:t>
      </w:r>
      <w:r w:rsidR="00BE5D49">
        <w:rPr>
          <w:rFonts w:ascii="仿宋_GB2312" w:eastAsia="仿宋_GB2312" w:hAnsi="黑体" w:hint="eastAsia"/>
          <w:sz w:val="32"/>
          <w:szCs w:val="32"/>
        </w:rPr>
        <w:t>），负责智慧增长项目、</w:t>
      </w:r>
      <w:r w:rsidR="006B34DA">
        <w:rPr>
          <w:rFonts w:ascii="仿宋_GB2312" w:eastAsia="仿宋_GB2312" w:hAnsi="黑体" w:hint="eastAsia"/>
          <w:sz w:val="32"/>
          <w:szCs w:val="32"/>
        </w:rPr>
        <w:t>知识教育发展项目和波兰东部发展项目；二是波兰发展部的下属部门，负责基础设施与环境项目和数字波兰项目；三是地方政府，波兰各省</w:t>
      </w:r>
      <w:r w:rsidR="00086C74">
        <w:rPr>
          <w:rFonts w:ascii="仿宋_GB2312" w:eastAsia="仿宋_GB2312" w:hAnsi="黑体" w:hint="eastAsia"/>
          <w:sz w:val="32"/>
          <w:szCs w:val="32"/>
        </w:rPr>
        <w:t>在科研创新和增强中小企业竞争力方面可以使用欧盟基金；四是波兰农业重组和现代化局（</w:t>
      </w:r>
      <w:r w:rsidR="00086C74">
        <w:rPr>
          <w:rFonts w:ascii="仿宋_GB2312" w:eastAsia="仿宋_GB2312" w:hAnsi="黑体"/>
          <w:sz w:val="32"/>
          <w:szCs w:val="32"/>
        </w:rPr>
        <w:t>ARMA</w:t>
      </w:r>
      <w:r w:rsidR="00086C74">
        <w:rPr>
          <w:rFonts w:ascii="仿宋_GB2312" w:eastAsia="仿宋_GB2312" w:hAnsi="黑体" w:hint="eastAsia"/>
          <w:sz w:val="32"/>
          <w:szCs w:val="32"/>
        </w:rPr>
        <w:t>），负责管理</w:t>
      </w:r>
      <w:r w:rsidR="00086C74" w:rsidRPr="00086C74">
        <w:rPr>
          <w:rFonts w:ascii="仿宋_GB2312" w:eastAsia="仿宋_GB2312" w:hAnsi="黑体" w:hint="eastAsia"/>
          <w:sz w:val="32"/>
          <w:szCs w:val="32"/>
        </w:rPr>
        <w:t>欧洲农村发展</w:t>
      </w:r>
      <w:r w:rsidR="0087460A">
        <w:rPr>
          <w:rFonts w:ascii="仿宋_GB2312" w:eastAsia="仿宋_GB2312" w:hAnsi="黑体" w:hint="eastAsia"/>
          <w:sz w:val="32"/>
          <w:szCs w:val="32"/>
        </w:rPr>
        <w:t>与</w:t>
      </w:r>
      <w:r w:rsidR="00086C74" w:rsidRPr="00086C74">
        <w:rPr>
          <w:rFonts w:ascii="仿宋_GB2312" w:eastAsia="仿宋_GB2312" w:hAnsi="黑体" w:hint="eastAsia"/>
          <w:sz w:val="32"/>
          <w:szCs w:val="32"/>
        </w:rPr>
        <w:t>农业基金</w:t>
      </w:r>
      <w:r w:rsidR="00086C74">
        <w:rPr>
          <w:rFonts w:ascii="仿宋_GB2312" w:eastAsia="仿宋_GB2312" w:hAnsi="黑体" w:hint="eastAsia"/>
          <w:sz w:val="32"/>
          <w:szCs w:val="32"/>
        </w:rPr>
        <w:t>与欧洲海事和渔业基金。</w:t>
      </w:r>
    </w:p>
    <w:p w:rsidR="00EC5C0A" w:rsidRDefault="00EC5C0A" w:rsidP="00CB0C15">
      <w:pPr>
        <w:ind w:firstLineChars="200" w:firstLine="640"/>
        <w:rPr>
          <w:rFonts w:ascii="黑体" w:eastAsia="黑体" w:hAnsi="黑体"/>
          <w:sz w:val="32"/>
          <w:szCs w:val="32"/>
        </w:rPr>
      </w:pPr>
      <w:r w:rsidRPr="00AA7D5E">
        <w:rPr>
          <w:rFonts w:ascii="黑体" w:eastAsia="黑体" w:hAnsi="黑体" w:hint="eastAsia"/>
          <w:sz w:val="32"/>
          <w:szCs w:val="32"/>
        </w:rPr>
        <w:t>五、</w:t>
      </w:r>
      <w:r w:rsidR="00AA7D5E" w:rsidRPr="00AA7D5E">
        <w:rPr>
          <w:rFonts w:ascii="黑体" w:eastAsia="黑体" w:hAnsi="黑体" w:hint="eastAsia"/>
          <w:sz w:val="32"/>
          <w:szCs w:val="32"/>
        </w:rPr>
        <w:t>2020年后的挑战</w:t>
      </w:r>
    </w:p>
    <w:p w:rsidR="009134B9" w:rsidRDefault="00AA7D5E" w:rsidP="00041A3A">
      <w:pPr>
        <w:ind w:firstLineChars="200" w:firstLine="640"/>
        <w:rPr>
          <w:rFonts w:ascii="仿宋_GB2312" w:eastAsia="仿宋_GB2312" w:hAnsi="黑体"/>
          <w:sz w:val="32"/>
          <w:szCs w:val="32"/>
        </w:rPr>
      </w:pPr>
      <w:r w:rsidRPr="00AA7D5E">
        <w:rPr>
          <w:rFonts w:ascii="仿宋_GB2312" w:eastAsia="仿宋_GB2312" w:hAnsi="黑体" w:hint="eastAsia"/>
          <w:sz w:val="32"/>
          <w:szCs w:val="32"/>
        </w:rPr>
        <w:t>根据</w:t>
      </w:r>
      <w:r>
        <w:rPr>
          <w:rFonts w:ascii="仿宋_GB2312" w:eastAsia="仿宋_GB2312" w:hAnsi="黑体" w:hint="eastAsia"/>
          <w:sz w:val="32"/>
          <w:szCs w:val="32"/>
        </w:rPr>
        <w:t>大多数机构的预测，欧盟下一轮基金数额将会减少。近年来，英国是欧盟预算的最大</w:t>
      </w:r>
      <w:proofErr w:type="gramStart"/>
      <w:r>
        <w:rPr>
          <w:rFonts w:ascii="仿宋_GB2312" w:eastAsia="仿宋_GB2312" w:hAnsi="黑体" w:hint="eastAsia"/>
          <w:sz w:val="32"/>
          <w:szCs w:val="32"/>
        </w:rPr>
        <w:t>缴纳国</w:t>
      </w:r>
      <w:proofErr w:type="gramEnd"/>
      <w:r>
        <w:rPr>
          <w:rFonts w:ascii="仿宋_GB2312" w:eastAsia="仿宋_GB2312" w:hAnsi="黑体" w:hint="eastAsia"/>
          <w:sz w:val="32"/>
          <w:szCs w:val="32"/>
        </w:rPr>
        <w:t>之一（负责支付12%的欧盟预算），</w:t>
      </w:r>
      <w:r w:rsidR="009134B9">
        <w:rPr>
          <w:rFonts w:ascii="仿宋_GB2312" w:eastAsia="仿宋_GB2312" w:hAnsi="黑体" w:hint="eastAsia"/>
          <w:sz w:val="32"/>
          <w:szCs w:val="32"/>
        </w:rPr>
        <w:t>因此英国</w:t>
      </w:r>
      <w:proofErr w:type="gramStart"/>
      <w:r w:rsidR="009134B9">
        <w:rPr>
          <w:rFonts w:ascii="仿宋_GB2312" w:eastAsia="仿宋_GB2312" w:hAnsi="黑体" w:hint="eastAsia"/>
          <w:sz w:val="32"/>
          <w:szCs w:val="32"/>
        </w:rPr>
        <w:t>脱欧对欧</w:t>
      </w:r>
      <w:proofErr w:type="gramEnd"/>
      <w:r w:rsidR="009134B9">
        <w:rPr>
          <w:rFonts w:ascii="仿宋_GB2312" w:eastAsia="仿宋_GB2312" w:hAnsi="黑体" w:hint="eastAsia"/>
          <w:sz w:val="32"/>
          <w:szCs w:val="32"/>
        </w:rPr>
        <w:t>盟预算影响较大。</w:t>
      </w:r>
      <w:r w:rsidR="0069372F">
        <w:rPr>
          <w:rFonts w:ascii="仿宋_GB2312" w:eastAsia="仿宋_GB2312" w:hAnsi="黑体" w:hint="eastAsia"/>
          <w:sz w:val="32"/>
          <w:szCs w:val="32"/>
        </w:rPr>
        <w:t>另</w:t>
      </w:r>
      <w:r>
        <w:rPr>
          <w:rFonts w:ascii="仿宋_GB2312" w:eastAsia="仿宋_GB2312" w:hAnsi="黑体" w:hint="eastAsia"/>
          <w:sz w:val="32"/>
          <w:szCs w:val="32"/>
        </w:rPr>
        <w:t>一个原因就是欧盟首次将部分预算用于安全防御项目。</w:t>
      </w:r>
    </w:p>
    <w:p w:rsidR="00AA7D5E" w:rsidRDefault="009134B9" w:rsidP="00041A3A">
      <w:pPr>
        <w:ind w:firstLineChars="200" w:firstLine="640"/>
        <w:rPr>
          <w:rFonts w:ascii="仿宋_GB2312" w:eastAsia="仿宋_GB2312" w:hAnsi="黑体"/>
          <w:sz w:val="32"/>
          <w:szCs w:val="32"/>
        </w:rPr>
      </w:pPr>
      <w:r>
        <w:rPr>
          <w:rFonts w:ascii="仿宋_GB2312" w:eastAsia="仿宋_GB2312" w:hAnsi="黑体" w:hint="eastAsia"/>
          <w:sz w:val="32"/>
          <w:szCs w:val="32"/>
        </w:rPr>
        <w:t>波兰与欧盟</w:t>
      </w:r>
      <w:r w:rsidR="006C12AD">
        <w:rPr>
          <w:rFonts w:ascii="仿宋_GB2312" w:eastAsia="仿宋_GB2312" w:hAnsi="黑体" w:hint="eastAsia"/>
          <w:sz w:val="32"/>
          <w:szCs w:val="32"/>
        </w:rPr>
        <w:t>关系</w:t>
      </w:r>
      <w:r w:rsidR="00041A3A">
        <w:rPr>
          <w:rFonts w:ascii="仿宋_GB2312" w:eastAsia="仿宋_GB2312" w:hAnsi="黑体" w:hint="eastAsia"/>
          <w:sz w:val="32"/>
          <w:szCs w:val="32"/>
        </w:rPr>
        <w:t>也会对欧盟基金有所影响。波兰是欧盟基金最大受益国，但</w:t>
      </w:r>
      <w:r w:rsidR="00C709E2">
        <w:rPr>
          <w:rFonts w:ascii="仿宋_GB2312" w:eastAsia="仿宋_GB2312" w:hAnsi="黑体" w:hint="eastAsia"/>
          <w:sz w:val="32"/>
          <w:szCs w:val="32"/>
        </w:rPr>
        <w:t>在许多</w:t>
      </w:r>
      <w:r w:rsidR="003D7997">
        <w:rPr>
          <w:rFonts w:ascii="仿宋_GB2312" w:eastAsia="仿宋_GB2312" w:hAnsi="黑体" w:hint="eastAsia"/>
          <w:sz w:val="32"/>
          <w:szCs w:val="32"/>
        </w:rPr>
        <w:t>事务</w:t>
      </w:r>
      <w:r w:rsidR="00C709E2">
        <w:rPr>
          <w:rFonts w:ascii="仿宋_GB2312" w:eastAsia="仿宋_GB2312" w:hAnsi="黑体" w:hint="eastAsia"/>
          <w:sz w:val="32"/>
          <w:szCs w:val="32"/>
        </w:rPr>
        <w:t>上</w:t>
      </w:r>
      <w:r w:rsidR="00041A3A">
        <w:rPr>
          <w:rFonts w:ascii="仿宋_GB2312" w:eastAsia="仿宋_GB2312" w:hAnsi="黑体" w:hint="eastAsia"/>
          <w:sz w:val="32"/>
          <w:szCs w:val="32"/>
        </w:rPr>
        <w:t>和欧盟存在分歧。波兰拒绝根据欧盟政策接收难民，为此欧盟考虑</w:t>
      </w:r>
      <w:r w:rsidR="00BD20A5">
        <w:rPr>
          <w:rFonts w:ascii="仿宋_GB2312" w:eastAsia="仿宋_GB2312" w:hAnsi="黑体" w:hint="eastAsia"/>
          <w:sz w:val="32"/>
          <w:szCs w:val="32"/>
        </w:rPr>
        <w:t>对</w:t>
      </w:r>
      <w:r w:rsidR="00041A3A">
        <w:rPr>
          <w:rFonts w:ascii="仿宋_GB2312" w:eastAsia="仿宋_GB2312" w:hAnsi="黑体" w:hint="eastAsia"/>
          <w:sz w:val="32"/>
          <w:szCs w:val="32"/>
        </w:rPr>
        <w:t>拒绝执行欧盟政策的国家获得的欧盟基金进行限制。</w:t>
      </w:r>
      <w:r w:rsidR="0069372F">
        <w:rPr>
          <w:rFonts w:ascii="仿宋_GB2312" w:eastAsia="仿宋_GB2312" w:hAnsi="黑体" w:hint="eastAsia"/>
          <w:sz w:val="32"/>
          <w:szCs w:val="32"/>
        </w:rPr>
        <w:t>在能源政策上，欧盟不支持波兰发展煤炭有关的项目，而煤炭在未来短期内还是波兰主要能源之一。</w:t>
      </w:r>
    </w:p>
    <w:p w:rsidR="0069372F" w:rsidRPr="00AA7D5E" w:rsidRDefault="009134B9" w:rsidP="009134B9">
      <w:pPr>
        <w:ind w:firstLineChars="200" w:firstLine="640"/>
        <w:rPr>
          <w:rFonts w:ascii="仿宋_GB2312" w:eastAsia="仿宋_GB2312" w:hAnsi="黑体"/>
          <w:sz w:val="32"/>
          <w:szCs w:val="32"/>
        </w:rPr>
      </w:pPr>
      <w:r>
        <w:rPr>
          <w:rFonts w:ascii="仿宋_GB2312" w:eastAsia="仿宋_GB2312" w:hAnsi="黑体" w:hint="eastAsia"/>
          <w:sz w:val="32"/>
          <w:szCs w:val="32"/>
        </w:rPr>
        <w:t>欧盟要到2019年才会公布下一轮欧盟基金的规划，有消息称下一轮的基金规划周期将由现在的7年缩短为5年。</w:t>
      </w:r>
      <w:r w:rsidR="0069372F">
        <w:rPr>
          <w:rFonts w:ascii="仿宋_GB2312" w:eastAsia="仿宋_GB2312" w:hAnsi="黑体" w:hint="eastAsia"/>
          <w:sz w:val="32"/>
          <w:szCs w:val="32"/>
        </w:rPr>
        <w:t>为此，波兰政府在“负责任发展战略”中提出了2020</w:t>
      </w:r>
      <w:r w:rsidR="002039AE">
        <w:rPr>
          <w:rFonts w:ascii="仿宋_GB2312" w:eastAsia="仿宋_GB2312" w:hAnsi="黑体" w:hint="eastAsia"/>
          <w:sz w:val="32"/>
          <w:szCs w:val="32"/>
        </w:rPr>
        <w:t>年后的</w:t>
      </w:r>
      <w:r w:rsidR="002039AE">
        <w:rPr>
          <w:rFonts w:ascii="仿宋_GB2312" w:eastAsia="仿宋_GB2312" w:hAnsi="黑体" w:hint="eastAsia"/>
          <w:sz w:val="32"/>
          <w:szCs w:val="32"/>
        </w:rPr>
        <w:lastRenderedPageBreak/>
        <w:t>一些规划：</w:t>
      </w:r>
      <w:r w:rsidR="000147EF" w:rsidRPr="000147EF">
        <w:rPr>
          <w:rFonts w:ascii="仿宋_GB2312" w:eastAsia="仿宋_GB2312" w:hAnsi="黑体" w:hint="eastAsia"/>
          <w:sz w:val="32"/>
          <w:szCs w:val="32"/>
        </w:rPr>
        <w:t>剩余的欧盟基金将主要用于发展创新项目上</w:t>
      </w:r>
      <w:r w:rsidR="000147EF">
        <w:rPr>
          <w:rFonts w:ascii="仿宋_GB2312" w:eastAsia="仿宋_GB2312" w:hAnsi="黑体" w:hint="eastAsia"/>
          <w:sz w:val="32"/>
          <w:szCs w:val="32"/>
        </w:rPr>
        <w:t>，</w:t>
      </w:r>
      <w:r w:rsidR="00BD20A5">
        <w:rPr>
          <w:rFonts w:ascii="仿宋_GB2312" w:eastAsia="仿宋_GB2312" w:hAnsi="黑体" w:hint="eastAsia"/>
          <w:sz w:val="32"/>
          <w:szCs w:val="32"/>
        </w:rPr>
        <w:t>国家将主要从国家预算和私人投资中</w:t>
      </w:r>
      <w:r w:rsidR="0069372F">
        <w:rPr>
          <w:rFonts w:ascii="仿宋_GB2312" w:eastAsia="仿宋_GB2312" w:hAnsi="黑体" w:hint="eastAsia"/>
          <w:sz w:val="32"/>
          <w:szCs w:val="32"/>
        </w:rPr>
        <w:t>筹资</w:t>
      </w:r>
      <w:r w:rsidR="00BD20A5">
        <w:rPr>
          <w:rFonts w:ascii="仿宋_GB2312" w:eastAsia="仿宋_GB2312" w:hAnsi="黑体" w:hint="eastAsia"/>
          <w:sz w:val="32"/>
          <w:szCs w:val="32"/>
        </w:rPr>
        <w:t>进行投资</w:t>
      </w:r>
      <w:r w:rsidR="000147EF">
        <w:rPr>
          <w:rFonts w:ascii="仿宋_GB2312" w:eastAsia="仿宋_GB2312" w:hAnsi="黑体" w:hint="eastAsia"/>
          <w:sz w:val="32"/>
          <w:szCs w:val="32"/>
        </w:rPr>
        <w:t>，个人资本将在投资中扮演更加重要的角色。</w:t>
      </w:r>
    </w:p>
    <w:sectPr w:rsidR="0069372F" w:rsidRPr="00AA7D5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D8E" w:rsidRDefault="00E15D8E" w:rsidP="00DC77F6">
      <w:r>
        <w:separator/>
      </w:r>
    </w:p>
  </w:endnote>
  <w:endnote w:type="continuationSeparator" w:id="0">
    <w:p w:rsidR="00E15D8E" w:rsidRDefault="00E15D8E" w:rsidP="00DC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897291"/>
      <w:docPartObj>
        <w:docPartGallery w:val="Page Numbers (Bottom of Page)"/>
        <w:docPartUnique/>
      </w:docPartObj>
    </w:sdtPr>
    <w:sdtEndPr>
      <w:rPr>
        <w:rFonts w:ascii="宋体" w:eastAsia="宋体" w:hAnsi="宋体"/>
        <w:sz w:val="28"/>
        <w:szCs w:val="28"/>
      </w:rPr>
    </w:sdtEndPr>
    <w:sdtContent>
      <w:p w:rsidR="000818B9" w:rsidRPr="000818B9" w:rsidRDefault="000818B9">
        <w:pPr>
          <w:pStyle w:val="a5"/>
          <w:jc w:val="right"/>
          <w:rPr>
            <w:rFonts w:ascii="宋体" w:eastAsia="宋体" w:hAnsi="宋体"/>
            <w:sz w:val="28"/>
            <w:szCs w:val="28"/>
          </w:rPr>
        </w:pPr>
        <w:r w:rsidRPr="000818B9">
          <w:rPr>
            <w:rFonts w:ascii="宋体" w:eastAsia="宋体" w:hAnsi="宋体"/>
            <w:sz w:val="28"/>
            <w:szCs w:val="28"/>
          </w:rPr>
          <w:fldChar w:fldCharType="begin"/>
        </w:r>
        <w:r w:rsidRPr="000818B9">
          <w:rPr>
            <w:rFonts w:ascii="宋体" w:eastAsia="宋体" w:hAnsi="宋体"/>
            <w:sz w:val="28"/>
            <w:szCs w:val="28"/>
          </w:rPr>
          <w:instrText>PAGE   \* MERGEFORMAT</w:instrText>
        </w:r>
        <w:r w:rsidRPr="000818B9">
          <w:rPr>
            <w:rFonts w:ascii="宋体" w:eastAsia="宋体" w:hAnsi="宋体"/>
            <w:sz w:val="28"/>
            <w:szCs w:val="28"/>
          </w:rPr>
          <w:fldChar w:fldCharType="separate"/>
        </w:r>
        <w:r w:rsidR="00ED4BBF" w:rsidRPr="00ED4BBF">
          <w:rPr>
            <w:rFonts w:ascii="宋体" w:eastAsia="宋体" w:hAnsi="宋体"/>
            <w:noProof/>
            <w:sz w:val="28"/>
            <w:szCs w:val="28"/>
            <w:lang w:val="zh-CN"/>
          </w:rPr>
          <w:t>4</w:t>
        </w:r>
        <w:r w:rsidRPr="000818B9">
          <w:rPr>
            <w:rFonts w:ascii="宋体" w:eastAsia="宋体" w:hAnsi="宋体"/>
            <w:sz w:val="28"/>
            <w:szCs w:val="28"/>
          </w:rPr>
          <w:fldChar w:fldCharType="end"/>
        </w:r>
      </w:p>
    </w:sdtContent>
  </w:sdt>
  <w:p w:rsidR="000818B9" w:rsidRDefault="000818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D8E" w:rsidRDefault="00E15D8E" w:rsidP="00DC77F6">
      <w:r>
        <w:separator/>
      </w:r>
    </w:p>
  </w:footnote>
  <w:footnote w:type="continuationSeparator" w:id="0">
    <w:p w:rsidR="00E15D8E" w:rsidRDefault="00E15D8E" w:rsidP="00DC77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C2F"/>
    <w:rsid w:val="000147EF"/>
    <w:rsid w:val="00041A3A"/>
    <w:rsid w:val="00070B2D"/>
    <w:rsid w:val="000818B9"/>
    <w:rsid w:val="00086C74"/>
    <w:rsid w:val="00095571"/>
    <w:rsid w:val="00180575"/>
    <w:rsid w:val="00197013"/>
    <w:rsid w:val="00197BE7"/>
    <w:rsid w:val="002039AE"/>
    <w:rsid w:val="00205BB2"/>
    <w:rsid w:val="002301B2"/>
    <w:rsid w:val="00250FD6"/>
    <w:rsid w:val="00283D7E"/>
    <w:rsid w:val="0028612C"/>
    <w:rsid w:val="002B36BB"/>
    <w:rsid w:val="00384FD2"/>
    <w:rsid w:val="003929FD"/>
    <w:rsid w:val="003A0550"/>
    <w:rsid w:val="003B125D"/>
    <w:rsid w:val="003D7997"/>
    <w:rsid w:val="0041329E"/>
    <w:rsid w:val="00447BFA"/>
    <w:rsid w:val="00495F40"/>
    <w:rsid w:val="004D0480"/>
    <w:rsid w:val="00504A0E"/>
    <w:rsid w:val="00524C87"/>
    <w:rsid w:val="00584811"/>
    <w:rsid w:val="005C7E33"/>
    <w:rsid w:val="005D5474"/>
    <w:rsid w:val="00606F0D"/>
    <w:rsid w:val="0061347B"/>
    <w:rsid w:val="00642ECA"/>
    <w:rsid w:val="00685C2F"/>
    <w:rsid w:val="0069372F"/>
    <w:rsid w:val="006B34DA"/>
    <w:rsid w:val="006C12AD"/>
    <w:rsid w:val="006D1C95"/>
    <w:rsid w:val="006D30A4"/>
    <w:rsid w:val="006D5EEA"/>
    <w:rsid w:val="00786A27"/>
    <w:rsid w:val="007E0E9E"/>
    <w:rsid w:val="007E778E"/>
    <w:rsid w:val="008220DB"/>
    <w:rsid w:val="0082645C"/>
    <w:rsid w:val="0087460A"/>
    <w:rsid w:val="008A4172"/>
    <w:rsid w:val="008A6949"/>
    <w:rsid w:val="008B730C"/>
    <w:rsid w:val="009134B9"/>
    <w:rsid w:val="0091765F"/>
    <w:rsid w:val="00964984"/>
    <w:rsid w:val="009944CE"/>
    <w:rsid w:val="009A0576"/>
    <w:rsid w:val="00A1473E"/>
    <w:rsid w:val="00A20B2B"/>
    <w:rsid w:val="00A41D95"/>
    <w:rsid w:val="00A927B9"/>
    <w:rsid w:val="00AA12C3"/>
    <w:rsid w:val="00AA7D5E"/>
    <w:rsid w:val="00AC5D7E"/>
    <w:rsid w:val="00AE3E61"/>
    <w:rsid w:val="00B02123"/>
    <w:rsid w:val="00B66F8F"/>
    <w:rsid w:val="00BD20A5"/>
    <w:rsid w:val="00BD3E61"/>
    <w:rsid w:val="00BE5D49"/>
    <w:rsid w:val="00C418C7"/>
    <w:rsid w:val="00C61AEA"/>
    <w:rsid w:val="00C709E2"/>
    <w:rsid w:val="00CB0C15"/>
    <w:rsid w:val="00D00590"/>
    <w:rsid w:val="00D41BBE"/>
    <w:rsid w:val="00D50DE9"/>
    <w:rsid w:val="00D84376"/>
    <w:rsid w:val="00DC77F6"/>
    <w:rsid w:val="00DF1604"/>
    <w:rsid w:val="00E15D8E"/>
    <w:rsid w:val="00E91D12"/>
    <w:rsid w:val="00EA02FD"/>
    <w:rsid w:val="00EB726C"/>
    <w:rsid w:val="00EC5C0A"/>
    <w:rsid w:val="00EC7BC4"/>
    <w:rsid w:val="00ED4BBF"/>
    <w:rsid w:val="00F316BE"/>
    <w:rsid w:val="00F91A93"/>
    <w:rsid w:val="00FB76E3"/>
    <w:rsid w:val="00FF4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C3826"/>
  <w15:chartTrackingRefBased/>
  <w15:docId w15:val="{D43A2C19-5B30-4327-B1C1-266EF899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77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C77F6"/>
    <w:rPr>
      <w:sz w:val="18"/>
      <w:szCs w:val="18"/>
    </w:rPr>
  </w:style>
  <w:style w:type="paragraph" w:styleId="a5">
    <w:name w:val="footer"/>
    <w:basedOn w:val="a"/>
    <w:link w:val="a6"/>
    <w:uiPriority w:val="99"/>
    <w:unhideWhenUsed/>
    <w:rsid w:val="00DC77F6"/>
    <w:pPr>
      <w:tabs>
        <w:tab w:val="center" w:pos="4153"/>
        <w:tab w:val="right" w:pos="8306"/>
      </w:tabs>
      <w:snapToGrid w:val="0"/>
      <w:jc w:val="left"/>
    </w:pPr>
    <w:rPr>
      <w:sz w:val="18"/>
      <w:szCs w:val="18"/>
    </w:rPr>
  </w:style>
  <w:style w:type="character" w:customStyle="1" w:styleId="a6">
    <w:name w:val="页脚 字符"/>
    <w:basedOn w:val="a0"/>
    <w:link w:val="a5"/>
    <w:uiPriority w:val="99"/>
    <w:rsid w:val="00DC77F6"/>
    <w:rPr>
      <w:sz w:val="18"/>
      <w:szCs w:val="18"/>
    </w:rPr>
  </w:style>
  <w:style w:type="paragraph" w:styleId="a7">
    <w:name w:val="List Paragraph"/>
    <w:basedOn w:val="a"/>
    <w:uiPriority w:val="34"/>
    <w:qFormat/>
    <w:rsid w:val="00DC77F6"/>
    <w:pPr>
      <w:ind w:firstLineChars="200" w:firstLine="420"/>
    </w:pPr>
  </w:style>
  <w:style w:type="paragraph" w:styleId="a8">
    <w:name w:val="Balloon Text"/>
    <w:basedOn w:val="a"/>
    <w:link w:val="a9"/>
    <w:uiPriority w:val="99"/>
    <w:semiHidden/>
    <w:unhideWhenUsed/>
    <w:rsid w:val="00B02123"/>
    <w:rPr>
      <w:sz w:val="18"/>
      <w:szCs w:val="18"/>
    </w:rPr>
  </w:style>
  <w:style w:type="character" w:customStyle="1" w:styleId="a9">
    <w:name w:val="批注框文本 字符"/>
    <w:basedOn w:val="a0"/>
    <w:link w:val="a8"/>
    <w:uiPriority w:val="99"/>
    <w:semiHidden/>
    <w:rsid w:val="00B021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2014—2020</a:t>
            </a:r>
            <a:r>
              <a:rPr lang="zh-CN"/>
              <a:t>年欧盟基金成员国分配情况</a:t>
            </a:r>
            <a:r>
              <a:rPr lang="en-US"/>
              <a:t> ( </a:t>
            </a:r>
            <a:r>
              <a:rPr lang="zh-CN"/>
              <a:t>十亿</a:t>
            </a:r>
            <a:r>
              <a:rPr lang="en-US"/>
              <a:t>/</a:t>
            </a:r>
            <a:r>
              <a:rPr lang="zh-CN"/>
              <a:t>欧元</a:t>
            </a:r>
            <a:r>
              <a:rPr lang="en-US"/>
              <a:t>)</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Arkusz1!$B$1</c:f>
              <c:strCache>
                <c:ptCount val="1"/>
                <c:pt idx="0">
                  <c:v>Kolumna1</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Arkusz1!$A$2:$A$30</c:f>
              <c:strCache>
                <c:ptCount val="29"/>
                <c:pt idx="0">
                  <c:v>波兰</c:v>
                </c:pt>
                <c:pt idx="1">
                  <c:v>意大利</c:v>
                </c:pt>
                <c:pt idx="2">
                  <c:v>西班牙</c:v>
                </c:pt>
                <c:pt idx="3">
                  <c:v>罗马尼亚</c:v>
                </c:pt>
                <c:pt idx="4">
                  <c:v>德国</c:v>
                </c:pt>
                <c:pt idx="5">
                  <c:v>法国</c:v>
                </c:pt>
                <c:pt idx="6">
                  <c:v>葡萄牙</c:v>
                </c:pt>
                <c:pt idx="7">
                  <c:v>匈牙利</c:v>
                </c:pt>
                <c:pt idx="8">
                  <c:v>捷克</c:v>
                </c:pt>
                <c:pt idx="9">
                  <c:v>希腊</c:v>
                </c:pt>
                <c:pt idx="10">
                  <c:v>英国</c:v>
                </c:pt>
                <c:pt idx="11">
                  <c:v>斯洛伐克</c:v>
                </c:pt>
                <c:pt idx="12">
                  <c:v>克罗地亚</c:v>
                </c:pt>
                <c:pt idx="13">
                  <c:v>保加利亚</c:v>
                </c:pt>
                <c:pt idx="14">
                  <c:v>欧盟成员国间</c:v>
                </c:pt>
                <c:pt idx="15">
                  <c:v>立陶宛</c:v>
                </c:pt>
                <c:pt idx="16">
                  <c:v>拉脱维亚</c:v>
                </c:pt>
                <c:pt idx="17">
                  <c:v>奥地利</c:v>
                </c:pt>
                <c:pt idx="18">
                  <c:v>爱沙尼亚</c:v>
                </c:pt>
                <c:pt idx="19">
                  <c:v>斯洛文尼亚</c:v>
                </c:pt>
                <c:pt idx="20">
                  <c:v>芬兰</c:v>
                </c:pt>
                <c:pt idx="21">
                  <c:v>瑞典</c:v>
                </c:pt>
                <c:pt idx="22">
                  <c:v>爱尔兰</c:v>
                </c:pt>
                <c:pt idx="23">
                  <c:v>比利时</c:v>
                </c:pt>
                <c:pt idx="24">
                  <c:v>荷兰</c:v>
                </c:pt>
                <c:pt idx="25">
                  <c:v>丹麦</c:v>
                </c:pt>
                <c:pt idx="26">
                  <c:v>塞浦路斯</c:v>
                </c:pt>
                <c:pt idx="27">
                  <c:v>马耳他</c:v>
                </c:pt>
                <c:pt idx="28">
                  <c:v>卢森堡</c:v>
                </c:pt>
              </c:strCache>
            </c:strRef>
          </c:cat>
          <c:val>
            <c:numRef>
              <c:f>Arkusz1!$B$2:$B$30</c:f>
              <c:numCache>
                <c:formatCode>General</c:formatCode>
                <c:ptCount val="29"/>
                <c:pt idx="0">
                  <c:v>86.1</c:v>
                </c:pt>
                <c:pt idx="1">
                  <c:v>42.7</c:v>
                </c:pt>
                <c:pt idx="2">
                  <c:v>37.4</c:v>
                </c:pt>
                <c:pt idx="3">
                  <c:v>30.8</c:v>
                </c:pt>
                <c:pt idx="4">
                  <c:v>28</c:v>
                </c:pt>
                <c:pt idx="5">
                  <c:v>26.7</c:v>
                </c:pt>
                <c:pt idx="6">
                  <c:v>25.8</c:v>
                </c:pt>
                <c:pt idx="7">
                  <c:v>25</c:v>
                </c:pt>
                <c:pt idx="8">
                  <c:v>24</c:v>
                </c:pt>
                <c:pt idx="9">
                  <c:v>20.399999999999999</c:v>
                </c:pt>
                <c:pt idx="10">
                  <c:v>16.399999999999999</c:v>
                </c:pt>
                <c:pt idx="11">
                  <c:v>15.3</c:v>
                </c:pt>
                <c:pt idx="12">
                  <c:v>10.7</c:v>
                </c:pt>
                <c:pt idx="13">
                  <c:v>9.9</c:v>
                </c:pt>
                <c:pt idx="14">
                  <c:v>9.6999999999999993</c:v>
                </c:pt>
                <c:pt idx="15">
                  <c:v>8.4</c:v>
                </c:pt>
                <c:pt idx="16">
                  <c:v>5.6</c:v>
                </c:pt>
                <c:pt idx="17">
                  <c:v>4.9000000000000004</c:v>
                </c:pt>
                <c:pt idx="18">
                  <c:v>4.5</c:v>
                </c:pt>
                <c:pt idx="19">
                  <c:v>3.9</c:v>
                </c:pt>
                <c:pt idx="20">
                  <c:v>3.8</c:v>
                </c:pt>
                <c:pt idx="21">
                  <c:v>3.6</c:v>
                </c:pt>
                <c:pt idx="22">
                  <c:v>3.4</c:v>
                </c:pt>
                <c:pt idx="23">
                  <c:v>2.7</c:v>
                </c:pt>
                <c:pt idx="24">
                  <c:v>1.9</c:v>
                </c:pt>
                <c:pt idx="25">
                  <c:v>1.5</c:v>
                </c:pt>
                <c:pt idx="26">
                  <c:v>0.87</c:v>
                </c:pt>
                <c:pt idx="27">
                  <c:v>0.83</c:v>
                </c:pt>
                <c:pt idx="28">
                  <c:v>0.14000000000000001</c:v>
                </c:pt>
              </c:numCache>
            </c:numRef>
          </c:val>
          <c:extLst>
            <c:ext xmlns:c16="http://schemas.microsoft.com/office/drawing/2014/chart" uri="{C3380CC4-5D6E-409C-BE32-E72D297353CC}">
              <c16:uniqueId val="{00000000-0DAC-43C1-BE2D-51A7AD40D25B}"/>
            </c:ext>
          </c:extLst>
        </c:ser>
        <c:dLbls>
          <c:dLblPos val="outEnd"/>
          <c:showLegendKey val="0"/>
          <c:showVal val="1"/>
          <c:showCatName val="0"/>
          <c:showSerName val="0"/>
          <c:showPercent val="0"/>
          <c:showBubbleSize val="0"/>
        </c:dLbls>
        <c:gapWidth val="444"/>
        <c:overlap val="-90"/>
        <c:axId val="386307840"/>
        <c:axId val="387916136"/>
      </c:barChart>
      <c:catAx>
        <c:axId val="3863078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zh-CN"/>
          </a:p>
        </c:txPr>
        <c:crossAx val="387916136"/>
        <c:crosses val="autoZero"/>
        <c:auto val="1"/>
        <c:lblAlgn val="ctr"/>
        <c:lblOffset val="100"/>
        <c:noMultiLvlLbl val="0"/>
      </c:catAx>
      <c:valAx>
        <c:axId val="387916136"/>
        <c:scaling>
          <c:orientation val="minMax"/>
        </c:scaling>
        <c:delete val="1"/>
        <c:axPos val="l"/>
        <c:numFmt formatCode="General" sourceLinked="0"/>
        <c:majorTickMark val="none"/>
        <c:minorTickMark val="none"/>
        <c:tickLblPos val="nextTo"/>
        <c:crossAx val="38630784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7</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Ma</dc:creator>
  <cp:keywords/>
  <dc:description/>
  <cp:lastModifiedBy>Pan Ma</cp:lastModifiedBy>
  <cp:revision>4</cp:revision>
  <cp:lastPrinted>2017-07-27T11:45:00Z</cp:lastPrinted>
  <dcterms:created xsi:type="dcterms:W3CDTF">2017-07-27T09:25:00Z</dcterms:created>
  <dcterms:modified xsi:type="dcterms:W3CDTF">2017-11-22T15:50:00Z</dcterms:modified>
</cp:coreProperties>
</file>