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olor w:val="000000"/>
          <w:sz w:val="22"/>
          <w:szCs w:val="28"/>
          <w:lang w:eastAsia="en-US"/>
        </w:rPr>
      </w:pPr>
      <w:r>
        <w:rPr>
          <w:rFonts w:ascii="Times New Roman" w:hAnsi="Times New Roman"/>
          <w:color w:val="0066B3"/>
          <w:sz w:val="22"/>
          <w:szCs w:val="28"/>
          <w:lang w:val="en-US"/>
        </w:rPr>
        <w:drawing>
          <wp:inline distT="0" distB="0" distL="0" distR="0">
            <wp:extent cx="2159635" cy="390525"/>
            <wp:effectExtent l="0" t="0" r="12065" b="3175"/>
            <wp:docPr id="1" name="Picture 1" descr="http://ccb.com/cn/img/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ccb.com/cn/img/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59635" cy="390525"/>
                    </a:xfrm>
                    <a:prstGeom prst="rect">
                      <a:avLst/>
                    </a:prstGeom>
                    <a:noFill/>
                    <a:ln>
                      <a:noFill/>
                    </a:ln>
                  </pic:spPr>
                </pic:pic>
              </a:graphicData>
            </a:graphic>
          </wp:inline>
        </w:drawing>
      </w:r>
    </w:p>
    <w:p>
      <w:pPr>
        <w:rPr>
          <w:rFonts w:ascii="Times New Roman" w:hAnsi="Times New Roman"/>
          <w:sz w:val="22"/>
          <w:szCs w:val="28"/>
        </w:rPr>
      </w:pPr>
      <w:r>
        <w:rPr>
          <w:rFonts w:ascii="Times New Roman" w:hAnsi="Times New Roman"/>
          <w:b/>
          <w:sz w:val="22"/>
          <w:szCs w:val="28"/>
        </w:rPr>
        <w:t>Общество с ограниченной ответственностью «Чайна Констракшн Банк»</w:t>
      </w:r>
      <w:r>
        <w:rPr>
          <w:rFonts w:ascii="Times New Roman" w:hAnsi="Times New Roman"/>
          <w:sz w:val="22"/>
          <w:szCs w:val="28"/>
        </w:rPr>
        <w:t xml:space="preserve">                                           ___________________________________________________________</w:t>
      </w:r>
    </w:p>
    <w:p>
      <w:pPr>
        <w:ind w:left="5040"/>
        <w:jc w:val="right"/>
        <w:rPr>
          <w:rFonts w:ascii="Times New Roman" w:hAnsi="Times New Roman" w:eastAsiaTheme="minorEastAsia"/>
          <w:bCs/>
          <w:sz w:val="22"/>
          <w:szCs w:val="28"/>
        </w:rPr>
      </w:pPr>
      <w:r>
        <w:rPr>
          <w:rFonts w:ascii="Times New Roman" w:hAnsi="Times New Roman" w:eastAsia="Times New Roman"/>
          <w:bCs/>
          <w:sz w:val="22"/>
          <w:szCs w:val="28"/>
          <w:lang w:eastAsia="en-US"/>
        </w:rP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eastAsia="Times New Roman"/>
          <w:b/>
          <w:bCs/>
          <w:sz w:val="28"/>
          <w:szCs w:val="28"/>
        </w:rPr>
      </w:pPr>
      <w:r>
        <w:rPr>
          <w:rFonts w:hint="eastAsia" w:ascii="Times New Roman" w:hAnsi="Times New Roman" w:eastAsia="Times New Roman"/>
          <w:b/>
          <w:bCs/>
          <w:sz w:val="28"/>
          <w:szCs w:val="28"/>
        </w:rPr>
        <w:t>Invitation Letter for the Canton Fair</w:t>
      </w:r>
    </w:p>
    <w:p>
      <w:pPr>
        <w:keepNext w:val="0"/>
        <w:keepLines w:val="0"/>
        <w:pageBreakBefore w:val="0"/>
        <w:widowControl/>
        <w:kinsoku/>
        <w:wordWrap/>
        <w:overflowPunct/>
        <w:topLinePunct w:val="0"/>
        <w:autoSpaceDE/>
        <w:autoSpaceDN/>
        <w:bidi w:val="0"/>
        <w:adjustRightInd/>
        <w:snapToGrid/>
        <w:spacing w:after="200" w:line="240" w:lineRule="auto"/>
        <w:ind w:left="0" w:leftChars="0" w:right="0" w:rightChars="0" w:firstLine="475" w:firstLineChars="0"/>
        <w:jc w:val="left"/>
        <w:textAlignment w:val="auto"/>
        <w:outlineLvl w:val="9"/>
        <w:rPr>
          <w:rFonts w:hint="eastAsia" w:ascii="彩虹粗仿宋" w:hAnsi="宋体" w:eastAsia="彩虹粗仿宋" w:cs="宋体"/>
          <w:sz w:val="18"/>
          <w:szCs w:val="18"/>
          <w:lang w:val="en-US" w:eastAsia="zh-CN"/>
        </w:rPr>
      </w:pP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firstLine="475"/>
        <w:jc w:val="left"/>
        <w:textAlignment w:val="auto"/>
        <w:outlineLvl w:val="9"/>
        <w:rPr>
          <w:rFonts w:hint="default" w:ascii="Times New Roman" w:hAnsi="Times New Roman" w:eastAsia="彩虹粗仿宋" w:cs="Times New Roman"/>
          <w:sz w:val="21"/>
          <w:szCs w:val="21"/>
          <w:lang w:val="en-US" w:eastAsia="zh-CN"/>
        </w:rPr>
      </w:pPr>
      <w:r>
        <w:rPr>
          <w:rFonts w:hint="default" w:ascii="Times New Roman" w:hAnsi="Times New Roman" w:eastAsia="彩虹粗仿宋" w:cs="Times New Roman"/>
          <w:sz w:val="21"/>
          <w:szCs w:val="21"/>
          <w:lang w:val="en-US" w:eastAsia="zh-CN"/>
        </w:rPr>
        <w:t>Dear Sir / Madam:</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firstLine="475"/>
        <w:jc w:val="both"/>
        <w:textAlignment w:val="auto"/>
        <w:outlineLvl w:val="9"/>
        <w:rPr>
          <w:rFonts w:hint="default" w:ascii="Times New Roman" w:hAnsi="Times New Roman" w:eastAsia="彩虹粗仿宋" w:cs="Times New Roman"/>
          <w:sz w:val="21"/>
          <w:szCs w:val="21"/>
          <w:lang w:val="en-US" w:eastAsia="zh-CN"/>
        </w:rPr>
      </w:pPr>
      <w:r>
        <w:rPr>
          <w:rFonts w:hint="default" w:ascii="Times New Roman" w:hAnsi="Times New Roman" w:eastAsia="彩虹粗仿宋" w:cs="Times New Roman"/>
          <w:sz w:val="21"/>
          <w:szCs w:val="21"/>
          <w:lang w:val="en-US" w:eastAsia="zh-CN"/>
        </w:rPr>
        <w:t>The 127th China Import and Export Fair (Canton Fair) is scheduled to be held online from June 15th to 24</w:t>
      </w:r>
      <w:r>
        <w:rPr>
          <w:rFonts w:hint="default" w:ascii="Times New Roman" w:hAnsi="Times New Roman" w:eastAsia="彩虹粗仿宋" w:cs="Times New Roman"/>
          <w:sz w:val="21"/>
          <w:szCs w:val="21"/>
          <w:vertAlign w:val="superscript"/>
          <w:lang w:val="en-US" w:eastAsia="zh-CN"/>
        </w:rPr>
        <w:t>th</w:t>
      </w:r>
      <w:r>
        <w:rPr>
          <w:rFonts w:hint="eastAsia" w:ascii="Times New Roman" w:hAnsi="Times New Roman" w:eastAsia="彩虹粗仿宋" w:cs="Times New Roman"/>
          <w:sz w:val="21"/>
          <w:szCs w:val="21"/>
          <w:lang w:val="en-US" w:eastAsia="zh-CN"/>
        </w:rPr>
        <w:t xml:space="preserve">, 2020. </w:t>
      </w:r>
      <w:r>
        <w:rPr>
          <w:rFonts w:hint="default" w:ascii="Times New Roman" w:hAnsi="Times New Roman" w:eastAsia="彩虹粗仿宋" w:cs="Times New Roman"/>
          <w:sz w:val="21"/>
          <w:szCs w:val="21"/>
          <w:lang w:val="en-US" w:eastAsia="zh-CN"/>
        </w:rPr>
        <w:t xml:space="preserve"> China Construction Bank is the designated financial service provider and partner for global promotion. We sincerely invite your good company to participate in this event.</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firstLine="475"/>
        <w:jc w:val="both"/>
        <w:textAlignment w:val="auto"/>
        <w:outlineLvl w:val="9"/>
        <w:rPr>
          <w:rFonts w:hint="default" w:ascii="Times New Roman" w:hAnsi="Times New Roman" w:eastAsia="彩虹粗仿宋" w:cs="Times New Roman"/>
          <w:sz w:val="21"/>
          <w:szCs w:val="21"/>
          <w:lang w:val="en-US" w:eastAsia="zh-CN"/>
        </w:rPr>
      </w:pPr>
      <w:r>
        <w:rPr>
          <w:rFonts w:hint="default" w:ascii="Times New Roman" w:hAnsi="Times New Roman" w:eastAsia="彩虹粗仿宋" w:cs="Times New Roman"/>
          <w:sz w:val="21"/>
          <w:szCs w:val="21"/>
          <w:lang w:val="en-US" w:eastAsia="zh-CN"/>
        </w:rPr>
        <w:t>The Canton Fair is a comprehensive international trade event, jointly sponsored by the Ministry of Commerce of the People's Republic o</w:t>
      </w:r>
      <w:bookmarkStart w:id="1" w:name="_GoBack"/>
      <w:bookmarkEnd w:id="1"/>
      <w:r>
        <w:rPr>
          <w:rFonts w:hint="default" w:ascii="Times New Roman" w:hAnsi="Times New Roman" w:eastAsia="彩虹粗仿宋" w:cs="Times New Roman"/>
          <w:sz w:val="21"/>
          <w:szCs w:val="21"/>
          <w:lang w:val="en-US" w:eastAsia="zh-CN"/>
        </w:rPr>
        <w:t>f China and the People's Government of Guangdong Province and undertaken by the China Foreign Trade Center. Since its establishment in the spring of 1957, it has been successfully held for 126 sessions and known as China's First Exhibition. The previous session attracted 25,000 exhibitors and over 200,000 overseas buyers. The 127th Canton Fair will be held online for 10 days from June 15th to June 24th. The Online Canton Fair will fully utilize advanced information technology to provide 24 hours online display, promotion and negotiation to facilitate the connection between supply and purchase, allowing domestic and foreign merchants to place orders and conduct business in the comfort of their own homes. There will be prime exhibitors recommended from all over China gathered together for 10 full days for global buyers to meet online.</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firstLine="475"/>
        <w:jc w:val="both"/>
        <w:textAlignment w:val="auto"/>
        <w:outlineLvl w:val="9"/>
        <w:rPr>
          <w:rFonts w:hint="default" w:ascii="Times New Roman" w:hAnsi="Times New Roman" w:eastAsia="彩虹粗仿宋" w:cs="Times New Roman"/>
          <w:sz w:val="21"/>
          <w:szCs w:val="21"/>
          <w:lang w:val="en-US" w:eastAsia="zh-CN"/>
        </w:rPr>
      </w:pPr>
      <w:r>
        <w:rPr>
          <w:rFonts w:hint="default" w:ascii="Times New Roman" w:hAnsi="Times New Roman" w:eastAsia="彩虹粗仿宋" w:cs="Times New Roman"/>
          <w:sz w:val="21"/>
          <w:szCs w:val="21"/>
          <w:lang w:val="en-US" w:eastAsia="zh-CN"/>
        </w:rPr>
        <w:t>As a strategic partner and designated financial service provider of the Canton Fair, China Construction Bank will leverage its well-established global network and leading financial technology strength to provide your good company with top-quality and efficient cross-border financial services such as settlement, financing and FX.</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firstLine="475"/>
        <w:jc w:val="both"/>
        <w:textAlignment w:val="auto"/>
        <w:outlineLvl w:val="9"/>
        <w:rPr>
          <w:rFonts w:hint="default" w:ascii="Times New Roman" w:hAnsi="Times New Roman" w:eastAsia="彩虹粗仿宋" w:cs="Times New Roman"/>
          <w:sz w:val="21"/>
          <w:szCs w:val="21"/>
          <w:lang w:val="en-US" w:eastAsia="zh-CN"/>
        </w:rPr>
      </w:pPr>
      <w:r>
        <w:rPr>
          <w:rFonts w:hint="default" w:ascii="Times New Roman" w:hAnsi="Times New Roman" w:eastAsia="彩虹粗仿宋" w:cs="Times New Roman"/>
          <w:sz w:val="21"/>
          <w:szCs w:val="21"/>
          <w:lang w:val="en-US" w:eastAsia="zh-CN"/>
        </w:rPr>
        <w:t>If your good company decides to participate, please email us the receipt form (see the attachment). We will provide you with an exclusive online channel to participate and a dedicated service team for end-to-end financial and logistic services.</w:t>
      </w:r>
    </w:p>
    <w:p>
      <w:pPr>
        <w:keepNext w:val="0"/>
        <w:keepLines w:val="0"/>
        <w:pageBreakBefore w:val="0"/>
        <w:widowControl/>
        <w:kinsoku/>
        <w:wordWrap/>
        <w:overflowPunct/>
        <w:topLinePunct w:val="0"/>
        <w:autoSpaceDE/>
        <w:autoSpaceDN/>
        <w:bidi w:val="0"/>
        <w:adjustRightInd/>
        <w:snapToGrid/>
        <w:spacing w:after="200" w:line="360" w:lineRule="auto"/>
        <w:ind w:left="0" w:leftChars="0" w:right="0" w:rightChars="0" w:firstLine="475"/>
        <w:jc w:val="left"/>
        <w:textAlignment w:val="auto"/>
        <w:outlineLvl w:val="9"/>
        <w:rPr>
          <w:rFonts w:hint="default" w:ascii="Times New Roman" w:hAnsi="Times New Roman" w:eastAsia="彩虹粗仿宋" w:cs="Times New Roman"/>
          <w:sz w:val="21"/>
          <w:szCs w:val="21"/>
          <w:lang w:val="en-US" w:eastAsia="zh-CN"/>
        </w:rPr>
      </w:pPr>
      <w:r>
        <w:rPr>
          <w:rFonts w:hint="default" w:ascii="Times New Roman" w:hAnsi="Times New Roman" w:eastAsia="彩虹粗仿宋" w:cs="Times New Roman"/>
          <w:sz w:val="21"/>
          <w:szCs w:val="21"/>
          <w:lang w:val="en-US" w:eastAsia="zh-CN"/>
        </w:rPr>
        <w:t>Looking forward to your reply.</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475" w:firstLineChars="0"/>
        <w:jc w:val="left"/>
        <w:textAlignment w:val="auto"/>
        <w:outlineLvl w:val="9"/>
        <w:rPr>
          <w:rFonts w:hint="default" w:ascii="Times New Roman" w:hAnsi="Times New Roman" w:eastAsia="彩虹粗仿宋" w:cs="Times New Roman"/>
          <w:sz w:val="21"/>
          <w:szCs w:val="21"/>
          <w:lang w:val="en-US" w:eastAsia="zh-CN"/>
        </w:rPr>
      </w:pPr>
      <w:r>
        <w:rPr>
          <w:rFonts w:hint="default" w:ascii="Times New Roman" w:hAnsi="Times New Roman" w:eastAsia="彩虹粗仿宋" w:cs="Times New Roman"/>
          <w:sz w:val="21"/>
          <w:szCs w:val="21"/>
          <w:lang w:val="en-US" w:eastAsia="zh-CN"/>
        </w:rPr>
        <w:t xml:space="preserve">CCB contact: </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475" w:firstLineChars="0"/>
        <w:jc w:val="left"/>
        <w:textAlignment w:val="auto"/>
        <w:outlineLvl w:val="9"/>
        <w:rPr>
          <w:rFonts w:hint="default" w:ascii="Times New Roman" w:hAnsi="Times New Roman" w:eastAsia="彩虹粗仿宋" w:cs="Times New Roman"/>
          <w:sz w:val="21"/>
          <w:szCs w:val="21"/>
          <w:lang w:val="en-US" w:eastAsia="zh-CN"/>
        </w:rPr>
      </w:pPr>
      <w:r>
        <w:rPr>
          <w:rFonts w:hint="eastAsia" w:ascii="Times New Roman" w:hAnsi="Times New Roman" w:eastAsia="彩虹粗仿宋" w:cs="Times New Roman"/>
          <w:sz w:val="21"/>
          <w:szCs w:val="21"/>
          <w:lang w:val="en-US" w:eastAsia="zh-CN"/>
        </w:rPr>
        <w:t xml:space="preserve">Tarasov Alexey   e-mail: </w:t>
      </w:r>
      <w:r>
        <w:rPr>
          <w:rFonts w:hint="default" w:ascii="Times New Roman" w:hAnsi="Times New Roman" w:eastAsia="彩虹粗仿宋" w:cs="Times New Roman"/>
          <w:sz w:val="21"/>
          <w:szCs w:val="21"/>
          <w:lang w:val="en-US" w:eastAsia="zh-CN"/>
        </w:rPr>
        <w:fldChar w:fldCharType="begin"/>
      </w:r>
      <w:r>
        <w:rPr>
          <w:rFonts w:hint="default" w:ascii="Times New Roman" w:hAnsi="Times New Roman" w:eastAsia="彩虹粗仿宋" w:cs="Times New Roman"/>
          <w:sz w:val="21"/>
          <w:szCs w:val="21"/>
          <w:lang w:val="en-US" w:eastAsia="zh-CN"/>
        </w:rPr>
        <w:instrText xml:space="preserve"> HYPERLINK "mailto:Alexey.Tarasov@ru.ccb.com" </w:instrText>
      </w:r>
      <w:r>
        <w:rPr>
          <w:rFonts w:hint="default" w:ascii="Times New Roman" w:hAnsi="Times New Roman" w:eastAsia="彩虹粗仿宋" w:cs="Times New Roman"/>
          <w:sz w:val="21"/>
          <w:szCs w:val="21"/>
          <w:lang w:val="en-US" w:eastAsia="zh-CN"/>
        </w:rPr>
        <w:fldChar w:fldCharType="separate"/>
      </w:r>
      <w:r>
        <w:rPr>
          <w:rFonts w:hint="default" w:ascii="Times New Roman" w:hAnsi="Times New Roman" w:eastAsia="彩虹粗仿宋" w:cs="Times New Roman"/>
          <w:sz w:val="21"/>
          <w:szCs w:val="21"/>
          <w:lang w:val="en-US" w:eastAsia="zh-CN"/>
        </w:rPr>
        <w:t>Alexey.Tarasov@ru.ccb.com</w:t>
      </w:r>
      <w:r>
        <w:rPr>
          <w:rFonts w:hint="default" w:ascii="Times New Roman" w:hAnsi="Times New Roman" w:eastAsia="彩虹粗仿宋" w:cs="Times New Roman"/>
          <w:sz w:val="21"/>
          <w:szCs w:val="21"/>
          <w:lang w:val="en-US" w:eastAsia="zh-CN"/>
        </w:rPr>
        <w:fldChar w:fldCharType="end"/>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475" w:firstLineChars="0"/>
        <w:jc w:val="left"/>
        <w:textAlignment w:val="auto"/>
        <w:outlineLvl w:val="9"/>
        <w:rPr>
          <w:rFonts w:hint="default" w:ascii="Times New Roman" w:hAnsi="Times New Roman" w:eastAsia="彩虹粗仿宋" w:cs="Times New Roman"/>
          <w:sz w:val="21"/>
          <w:szCs w:val="21"/>
          <w:lang w:val="en-US" w:eastAsia="zh-CN"/>
        </w:rPr>
      </w:pPr>
      <w:r>
        <w:rPr>
          <w:rFonts w:hint="eastAsia" w:ascii="Times New Roman" w:hAnsi="Times New Roman" w:eastAsia="彩虹粗仿宋" w:cs="Times New Roman"/>
          <w:sz w:val="21"/>
          <w:szCs w:val="21"/>
          <w:lang w:val="en-US" w:eastAsia="zh-CN"/>
        </w:rPr>
        <w:t xml:space="preserve">Wang Huiying   e-mail: </w:t>
      </w:r>
      <w:r>
        <w:rPr>
          <w:rFonts w:hint="default" w:ascii="Times New Roman" w:hAnsi="Times New Roman" w:eastAsia="彩虹粗仿宋" w:cs="Times New Roman"/>
          <w:sz w:val="21"/>
          <w:szCs w:val="21"/>
          <w:lang w:val="en-US" w:eastAsia="zh-CN"/>
        </w:rPr>
        <w:t>wanghuiying@ru.ccb.com</w:t>
      </w:r>
    </w:p>
    <w:p>
      <w:pPr>
        <w:rPr>
          <w:rFonts w:ascii="Times New Roman" w:hAnsi="Times New Roman" w:eastAsiaTheme="minorHAnsi"/>
          <w:sz w:val="22"/>
          <w:szCs w:val="28"/>
        </w:rPr>
      </w:pPr>
    </w:p>
    <w:p>
      <w:pPr>
        <w:rPr>
          <w:rFonts w:ascii="Times New Roman" w:hAnsi="Times New Roman" w:eastAsiaTheme="minorHAnsi"/>
          <w:sz w:val="22"/>
          <w:szCs w:val="28"/>
        </w:rPr>
      </w:pPr>
    </w:p>
    <w:p>
      <w:pPr>
        <w:rPr>
          <w:rFonts w:ascii="Times New Roman" w:hAnsi="Times New Roman" w:eastAsiaTheme="minorHAnsi"/>
          <w:sz w:val="21"/>
          <w:szCs w:val="21"/>
        </w:rPr>
      </w:pPr>
    </w:p>
    <w:p>
      <w:pPr>
        <w:jc w:val="right"/>
        <w:rPr>
          <w:rFonts w:hint="default" w:ascii="Times New Roman" w:hAnsi="Times New Roman" w:eastAsia="彩虹粗仿宋" w:cs="Times New Roman"/>
          <w:sz w:val="24"/>
          <w:szCs w:val="24"/>
        </w:rPr>
      </w:pPr>
      <w:r>
        <w:rPr>
          <w:rFonts w:hint="default" w:ascii="Times New Roman" w:hAnsi="Times New Roman" w:eastAsia="彩虹粗仿宋" w:cs="Times New Roman"/>
          <w:sz w:val="24"/>
          <w:szCs w:val="24"/>
        </w:rPr>
        <w:t>China Construction Bank (Russia) Limited</w:t>
      </w:r>
    </w:p>
    <w:p>
      <w:pPr>
        <w:wordWrap w:val="0"/>
        <w:ind w:right="960"/>
        <w:jc w:val="right"/>
        <w:rPr>
          <w:rFonts w:hint="default" w:ascii="Times New Roman" w:hAnsi="Times New Roman" w:eastAsia="彩虹粗仿宋" w:cs="Times New Roman"/>
          <w:sz w:val="24"/>
          <w:szCs w:val="24"/>
          <w:lang w:val="en-US" w:eastAsia="zh-CN"/>
        </w:rPr>
      </w:pPr>
      <w:r>
        <w:rPr>
          <w:rFonts w:hint="default" w:ascii="Times New Roman" w:hAnsi="Times New Roman" w:eastAsia="彩虹粗仿宋" w:cs="Times New Roman"/>
          <w:sz w:val="24"/>
          <w:szCs w:val="24"/>
          <w:lang w:val="en-US" w:eastAsia="zh-CN"/>
        </w:rPr>
        <w:t>May 29</w:t>
      </w:r>
      <w:r>
        <w:rPr>
          <w:rFonts w:hint="default" w:ascii="Times New Roman" w:hAnsi="Times New Roman" w:eastAsia="彩虹粗仿宋" w:cs="Times New Roman"/>
          <w:sz w:val="24"/>
          <w:szCs w:val="24"/>
          <w:vertAlign w:val="superscript"/>
          <w:lang w:val="en-US" w:eastAsia="zh-CN"/>
        </w:rPr>
        <w:t>th</w:t>
      </w:r>
      <w:r>
        <w:rPr>
          <w:rFonts w:hint="default" w:ascii="Times New Roman" w:hAnsi="Times New Roman" w:eastAsia="彩虹粗仿宋" w:cs="Times New Roman"/>
          <w:sz w:val="24"/>
          <w:szCs w:val="24"/>
          <w:lang w:val="en-US" w:eastAsia="zh-CN"/>
        </w:rPr>
        <w:t xml:space="preserve"> ,2020</w:t>
      </w:r>
    </w:p>
    <w:p>
      <w:pPr>
        <w:wordWrap/>
        <w:ind w:right="960"/>
        <w:jc w:val="right"/>
        <w:rPr>
          <w:rFonts w:hint="eastAsia" w:ascii="彩虹粗仿宋" w:hAnsi="宋体" w:eastAsia="彩虹粗仿宋" w:cs="宋体"/>
          <w:sz w:val="21"/>
          <w:szCs w:val="21"/>
          <w:lang w:val="en-US" w:eastAsia="zh-CN"/>
        </w:rPr>
      </w:pPr>
    </w:p>
    <w:p>
      <w:pPr>
        <w:wordWrap/>
        <w:ind w:right="960"/>
        <w:jc w:val="right"/>
        <w:rPr>
          <w:rFonts w:hint="eastAsia" w:ascii="彩虹粗仿宋" w:hAnsi="宋体" w:eastAsia="彩虹粗仿宋" w:cs="宋体"/>
          <w:sz w:val="21"/>
          <w:szCs w:val="21"/>
          <w:lang w:val="en-US" w:eastAsia="zh-CN"/>
        </w:rPr>
      </w:pPr>
    </w:p>
    <w:p>
      <w:pPr>
        <w:rPr>
          <w:rFonts w:ascii="Times New Roman" w:hAnsi="Times New Roman"/>
          <w:color w:val="000000"/>
          <w:sz w:val="22"/>
          <w:szCs w:val="28"/>
          <w:lang w:eastAsia="en-US"/>
        </w:rPr>
      </w:pPr>
      <w:r>
        <w:rPr>
          <w:rFonts w:ascii="Times New Roman" w:hAnsi="Times New Roman"/>
          <w:color w:val="0066B3"/>
          <w:sz w:val="22"/>
          <w:szCs w:val="28"/>
          <w:lang w:val="en-US"/>
        </w:rPr>
        <w:drawing>
          <wp:inline distT="0" distB="0" distL="0" distR="0">
            <wp:extent cx="2159635" cy="390525"/>
            <wp:effectExtent l="0" t="0" r="12065" b="3175"/>
            <wp:docPr id="2" name="Picture 1" descr="http://ccb.com/cn/img/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ccb.com/cn/img/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59635" cy="390525"/>
                    </a:xfrm>
                    <a:prstGeom prst="rect">
                      <a:avLst/>
                    </a:prstGeom>
                    <a:noFill/>
                    <a:ln>
                      <a:noFill/>
                    </a:ln>
                  </pic:spPr>
                </pic:pic>
              </a:graphicData>
            </a:graphic>
          </wp:inline>
        </w:drawing>
      </w:r>
    </w:p>
    <w:p>
      <w:pPr>
        <w:rPr>
          <w:rFonts w:ascii="Times New Roman" w:hAnsi="Times New Roman"/>
          <w:sz w:val="22"/>
          <w:szCs w:val="28"/>
        </w:rPr>
      </w:pPr>
      <w:r>
        <w:rPr>
          <w:rFonts w:ascii="Times New Roman" w:hAnsi="Times New Roman"/>
          <w:b/>
          <w:sz w:val="22"/>
          <w:szCs w:val="28"/>
        </w:rPr>
        <w:t>Общество с ограниченной ответственностью «Чайна Констракшн Банк»</w:t>
      </w:r>
      <w:r>
        <w:rPr>
          <w:rFonts w:ascii="Times New Roman" w:hAnsi="Times New Roman"/>
          <w:sz w:val="22"/>
          <w:szCs w:val="28"/>
        </w:rPr>
        <w:t xml:space="preserve">                                             ________________________________________________________________</w:t>
      </w:r>
    </w:p>
    <w:p>
      <w:pPr>
        <w:ind w:firstLine="560" w:firstLineChars="200"/>
        <w:rPr>
          <w:rFonts w:hint="eastAsia"/>
          <w:sz w:val="28"/>
          <w:szCs w:val="28"/>
        </w:rPr>
      </w:pPr>
    </w:p>
    <w:p>
      <w:pPr>
        <w:rPr>
          <w:rFonts w:hint="eastAsia"/>
          <w:b/>
          <w:bCs/>
          <w:sz w:val="24"/>
          <w:szCs w:val="24"/>
        </w:rPr>
      </w:pPr>
      <w:r>
        <w:rPr>
          <w:rFonts w:hint="eastAsia"/>
          <w:b/>
          <w:bCs/>
          <w:sz w:val="24"/>
          <w:szCs w:val="24"/>
        </w:rPr>
        <w:t>Attachment: Registration Receipt Form for Participants</w:t>
      </w:r>
    </w:p>
    <w:p>
      <w:pPr>
        <w:ind w:firstLine="560" w:firstLineChars="200"/>
        <w:rPr>
          <w:rFonts w:hint="eastAsia"/>
          <w:sz w:val="28"/>
          <w:szCs w:val="28"/>
        </w:rPr>
      </w:pPr>
    </w:p>
    <w:p>
      <w:pPr>
        <w:ind w:firstLine="560" w:firstLineChars="200"/>
        <w:rPr>
          <w:rFonts w:hint="eastAsia"/>
          <w:sz w:val="28"/>
          <w:szCs w:val="28"/>
        </w:rPr>
      </w:pPr>
    </w:p>
    <w:tbl>
      <w:tblPr>
        <w:tblStyle w:val="13"/>
        <w:tblW w:w="8589" w:type="dxa"/>
        <w:jc w:val="center"/>
        <w:tblInd w:w="0" w:type="dxa"/>
        <w:tblLayout w:type="fixed"/>
        <w:tblCellMar>
          <w:top w:w="0" w:type="dxa"/>
          <w:left w:w="0" w:type="dxa"/>
          <w:bottom w:w="0" w:type="dxa"/>
          <w:right w:w="0" w:type="dxa"/>
        </w:tblCellMar>
      </w:tblPr>
      <w:tblGrid>
        <w:gridCol w:w="2120"/>
        <w:gridCol w:w="2643"/>
        <w:gridCol w:w="3826"/>
      </w:tblGrid>
      <w:tr>
        <w:tblPrEx>
          <w:tblLayout w:type="fixed"/>
          <w:tblCellMar>
            <w:top w:w="0" w:type="dxa"/>
            <w:left w:w="0" w:type="dxa"/>
            <w:bottom w:w="0" w:type="dxa"/>
            <w:right w:w="0" w:type="dxa"/>
          </w:tblCellMar>
        </w:tblPrEx>
        <w:trPr>
          <w:trHeight w:val="780" w:hRule="atLeast"/>
          <w:jc w:val="center"/>
        </w:trPr>
        <w:tc>
          <w:tcPr>
            <w:tcW w:w="8589" w:type="dxa"/>
            <w:gridSpan w:val="3"/>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center"/>
              <w:rPr>
                <w:rFonts w:hint="eastAsia"/>
                <w:sz w:val="21"/>
                <w:szCs w:val="21"/>
              </w:rPr>
            </w:pPr>
            <w:r>
              <w:rPr>
                <w:rFonts w:hint="eastAsia"/>
                <w:b/>
                <w:bCs/>
                <w:sz w:val="21"/>
                <w:szCs w:val="21"/>
              </w:rPr>
              <w:t>Registration Receipt Form for Participants</w:t>
            </w:r>
          </w:p>
        </w:tc>
      </w:tr>
      <w:tr>
        <w:tblPrEx>
          <w:tblLayout w:type="fixed"/>
          <w:tblCellMar>
            <w:top w:w="0" w:type="dxa"/>
            <w:left w:w="0" w:type="dxa"/>
            <w:bottom w:w="0" w:type="dxa"/>
            <w:right w:w="0" w:type="dxa"/>
          </w:tblCellMar>
        </w:tblPrEx>
        <w:trPr>
          <w:trHeight w:val="515" w:hRule="atLeast"/>
          <w:jc w:val="center"/>
        </w:trPr>
        <w:tc>
          <w:tcPr>
            <w:tcW w:w="2120" w:type="dxa"/>
            <w:vMerge w:val="restar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center"/>
              <w:rPr>
                <w:rFonts w:hint="eastAsia"/>
                <w:sz w:val="21"/>
                <w:szCs w:val="21"/>
              </w:rPr>
            </w:pPr>
            <w:r>
              <w:rPr>
                <w:sz w:val="21"/>
                <w:szCs w:val="21"/>
              </w:rPr>
              <w:t>Company</w:t>
            </w:r>
            <w:r>
              <w:rPr>
                <w:rFonts w:hint="eastAsia"/>
                <w:sz w:val="21"/>
                <w:szCs w:val="21"/>
              </w:rPr>
              <w:t xml:space="preserve"> </w:t>
            </w:r>
            <w:r>
              <w:rPr>
                <w:sz w:val="21"/>
                <w:szCs w:val="21"/>
              </w:rPr>
              <w:t>I</w:t>
            </w:r>
            <w:r>
              <w:rPr>
                <w:rFonts w:hint="eastAsia"/>
                <w:sz w:val="21"/>
                <w:szCs w:val="21"/>
              </w:rPr>
              <w:t>nformation</w:t>
            </w:r>
          </w:p>
        </w:tc>
        <w:tc>
          <w:tcPr>
            <w:tcW w:w="26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sz w:val="21"/>
                <w:szCs w:val="21"/>
              </w:rPr>
            </w:pPr>
            <w:r>
              <w:rPr>
                <w:rFonts w:hint="eastAsia"/>
                <w:sz w:val="21"/>
                <w:szCs w:val="21"/>
                <w:lang w:val="en-US" w:eastAsia="zh-CN"/>
              </w:rPr>
              <w:t xml:space="preserve"> </w:t>
            </w:r>
            <w:r>
              <w:rPr>
                <w:rFonts w:hint="eastAsia"/>
                <w:sz w:val="21"/>
                <w:szCs w:val="21"/>
              </w:rPr>
              <w:t xml:space="preserve">Name </w:t>
            </w:r>
          </w:p>
        </w:tc>
        <w:tc>
          <w:tcPr>
            <w:tcW w:w="38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firstLine="480" w:firstLineChars="200"/>
              <w:rPr>
                <w:rFonts w:hint="eastAsia"/>
                <w:sz w:val="21"/>
                <w:szCs w:val="21"/>
              </w:rPr>
            </w:pPr>
          </w:p>
        </w:tc>
      </w:tr>
      <w:tr>
        <w:tblPrEx>
          <w:tblLayout w:type="fixed"/>
          <w:tblCellMar>
            <w:top w:w="0" w:type="dxa"/>
            <w:left w:w="0" w:type="dxa"/>
            <w:bottom w:w="0" w:type="dxa"/>
            <w:right w:w="0" w:type="dxa"/>
          </w:tblCellMar>
        </w:tblPrEx>
        <w:trPr>
          <w:trHeight w:val="515" w:hRule="atLeast"/>
          <w:jc w:val="center"/>
        </w:trPr>
        <w:tc>
          <w:tcPr>
            <w:tcW w:w="212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firstLine="480" w:firstLineChars="200"/>
              <w:rPr>
                <w:rFonts w:hint="eastAsia"/>
                <w:sz w:val="21"/>
                <w:szCs w:val="21"/>
              </w:rPr>
            </w:pPr>
          </w:p>
        </w:tc>
        <w:tc>
          <w:tcPr>
            <w:tcW w:w="26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sz w:val="21"/>
                <w:szCs w:val="21"/>
              </w:rPr>
            </w:pPr>
            <w:r>
              <w:rPr>
                <w:rFonts w:hint="eastAsia"/>
                <w:sz w:val="21"/>
                <w:szCs w:val="21"/>
                <w:lang w:val="en-US" w:eastAsia="zh-CN"/>
              </w:rPr>
              <w:t xml:space="preserve"> </w:t>
            </w:r>
            <w:r>
              <w:rPr>
                <w:rFonts w:hint="eastAsia"/>
                <w:sz w:val="21"/>
                <w:szCs w:val="21"/>
              </w:rPr>
              <w:t>Address</w:t>
            </w:r>
          </w:p>
        </w:tc>
        <w:tc>
          <w:tcPr>
            <w:tcW w:w="38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firstLine="480" w:firstLineChars="200"/>
              <w:rPr>
                <w:rFonts w:hint="eastAsia"/>
                <w:sz w:val="21"/>
                <w:szCs w:val="21"/>
              </w:rPr>
            </w:pPr>
          </w:p>
        </w:tc>
      </w:tr>
      <w:tr>
        <w:tblPrEx>
          <w:tblLayout w:type="fixed"/>
          <w:tblCellMar>
            <w:top w:w="0" w:type="dxa"/>
            <w:left w:w="0" w:type="dxa"/>
            <w:bottom w:w="0" w:type="dxa"/>
            <w:right w:w="0" w:type="dxa"/>
          </w:tblCellMar>
        </w:tblPrEx>
        <w:trPr>
          <w:trHeight w:val="515" w:hRule="atLeast"/>
          <w:jc w:val="center"/>
        </w:trPr>
        <w:tc>
          <w:tcPr>
            <w:tcW w:w="2120" w:type="dxa"/>
            <w:vMerge w:val="continue"/>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firstLine="480" w:firstLineChars="200"/>
              <w:rPr>
                <w:rFonts w:hint="eastAsia"/>
                <w:sz w:val="21"/>
                <w:szCs w:val="21"/>
              </w:rPr>
            </w:pPr>
          </w:p>
        </w:tc>
        <w:tc>
          <w:tcPr>
            <w:tcW w:w="26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sz w:val="21"/>
                <w:szCs w:val="21"/>
              </w:rPr>
            </w:pPr>
            <w:r>
              <w:rPr>
                <w:rFonts w:hint="eastAsia"/>
                <w:sz w:val="21"/>
                <w:szCs w:val="21"/>
                <w:lang w:val="en-US" w:eastAsia="zh-CN"/>
              </w:rPr>
              <w:t xml:space="preserve"> </w:t>
            </w:r>
            <w:r>
              <w:rPr>
                <w:rFonts w:hint="eastAsia"/>
                <w:sz w:val="21"/>
                <w:szCs w:val="21"/>
              </w:rPr>
              <w:t>I</w:t>
            </w:r>
            <w:r>
              <w:rPr>
                <w:sz w:val="21"/>
                <w:szCs w:val="21"/>
              </w:rPr>
              <w:t>ndustry categories of interest</w:t>
            </w:r>
          </w:p>
        </w:tc>
        <w:tc>
          <w:tcPr>
            <w:tcW w:w="38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firstLine="480" w:firstLineChars="200"/>
              <w:rPr>
                <w:rFonts w:hint="eastAsia"/>
                <w:sz w:val="21"/>
                <w:szCs w:val="21"/>
              </w:rPr>
            </w:pPr>
          </w:p>
        </w:tc>
      </w:tr>
      <w:tr>
        <w:tblPrEx>
          <w:tblLayout w:type="fixed"/>
          <w:tblCellMar>
            <w:top w:w="0" w:type="dxa"/>
            <w:left w:w="0" w:type="dxa"/>
            <w:bottom w:w="0" w:type="dxa"/>
            <w:right w:w="0" w:type="dxa"/>
          </w:tblCellMar>
        </w:tblPrEx>
        <w:trPr>
          <w:trHeight w:val="515" w:hRule="atLeast"/>
          <w:jc w:val="center"/>
        </w:trPr>
        <w:tc>
          <w:tcPr>
            <w:tcW w:w="2120" w:type="dxa"/>
            <w:vMerge w:val="restart"/>
            <w:tcBorders>
              <w:top w:val="single" w:color="000000" w:sz="4" w:space="0"/>
              <w:left w:val="single" w:color="000000" w:sz="4" w:space="0"/>
              <w:bottom w:val="nil"/>
              <w:right w:val="single" w:color="000000" w:sz="4" w:space="0"/>
            </w:tcBorders>
            <w:tcMar>
              <w:top w:w="8" w:type="dxa"/>
              <w:left w:w="8" w:type="dxa"/>
              <w:right w:w="8" w:type="dxa"/>
            </w:tcMar>
            <w:vAlign w:val="center"/>
          </w:tcPr>
          <w:p>
            <w:pPr>
              <w:jc w:val="center"/>
              <w:rPr>
                <w:rFonts w:hint="eastAsia"/>
                <w:sz w:val="21"/>
                <w:szCs w:val="21"/>
              </w:rPr>
            </w:pPr>
            <w:r>
              <w:rPr>
                <w:rFonts w:hint="eastAsia"/>
                <w:sz w:val="21"/>
                <w:szCs w:val="21"/>
              </w:rPr>
              <w:t xml:space="preserve">Contact </w:t>
            </w:r>
            <w:r>
              <w:rPr>
                <w:sz w:val="21"/>
                <w:szCs w:val="21"/>
              </w:rPr>
              <w:t>I</w:t>
            </w:r>
            <w:r>
              <w:rPr>
                <w:rFonts w:hint="eastAsia"/>
                <w:sz w:val="21"/>
                <w:szCs w:val="21"/>
              </w:rPr>
              <w:t>nformation</w:t>
            </w:r>
          </w:p>
        </w:tc>
        <w:tc>
          <w:tcPr>
            <w:tcW w:w="26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sz w:val="21"/>
                <w:szCs w:val="21"/>
              </w:rPr>
            </w:pPr>
            <w:r>
              <w:rPr>
                <w:rFonts w:hint="eastAsia"/>
                <w:sz w:val="21"/>
                <w:szCs w:val="21"/>
                <w:lang w:val="en-US" w:eastAsia="zh-CN"/>
              </w:rPr>
              <w:t xml:space="preserve"> </w:t>
            </w:r>
            <w:r>
              <w:rPr>
                <w:rFonts w:hint="eastAsia"/>
                <w:sz w:val="21"/>
                <w:szCs w:val="21"/>
              </w:rPr>
              <w:t>Name</w:t>
            </w:r>
          </w:p>
        </w:tc>
        <w:tc>
          <w:tcPr>
            <w:tcW w:w="38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firstLine="480" w:firstLineChars="200"/>
              <w:rPr>
                <w:rFonts w:hint="eastAsia"/>
                <w:sz w:val="21"/>
                <w:szCs w:val="21"/>
              </w:rPr>
            </w:pPr>
          </w:p>
        </w:tc>
      </w:tr>
      <w:tr>
        <w:tblPrEx>
          <w:tblLayout w:type="fixed"/>
          <w:tblCellMar>
            <w:top w:w="0" w:type="dxa"/>
            <w:left w:w="0" w:type="dxa"/>
            <w:bottom w:w="0" w:type="dxa"/>
            <w:right w:w="0" w:type="dxa"/>
          </w:tblCellMar>
        </w:tblPrEx>
        <w:trPr>
          <w:trHeight w:val="515" w:hRule="atLeast"/>
          <w:jc w:val="center"/>
        </w:trPr>
        <w:tc>
          <w:tcPr>
            <w:tcW w:w="2120" w:type="dxa"/>
            <w:vMerge w:val="continue"/>
            <w:tcBorders>
              <w:top w:val="single" w:color="000000" w:sz="4" w:space="0"/>
              <w:left w:val="single" w:color="000000" w:sz="4" w:space="0"/>
              <w:bottom w:val="nil"/>
              <w:right w:val="single" w:color="000000" w:sz="4" w:space="0"/>
            </w:tcBorders>
            <w:tcMar>
              <w:top w:w="8" w:type="dxa"/>
              <w:left w:w="8" w:type="dxa"/>
              <w:right w:w="8" w:type="dxa"/>
            </w:tcMar>
            <w:vAlign w:val="center"/>
          </w:tcPr>
          <w:p>
            <w:pPr>
              <w:ind w:firstLine="480" w:firstLineChars="200"/>
              <w:rPr>
                <w:rFonts w:hint="eastAsia"/>
                <w:sz w:val="21"/>
                <w:szCs w:val="21"/>
              </w:rPr>
            </w:pPr>
          </w:p>
        </w:tc>
        <w:tc>
          <w:tcPr>
            <w:tcW w:w="26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sz w:val="21"/>
                <w:szCs w:val="21"/>
              </w:rPr>
            </w:pPr>
            <w:r>
              <w:rPr>
                <w:rFonts w:hint="eastAsia"/>
                <w:sz w:val="21"/>
                <w:szCs w:val="21"/>
                <w:lang w:val="en-US" w:eastAsia="zh-CN"/>
              </w:rPr>
              <w:t xml:space="preserve"> </w:t>
            </w:r>
            <w:r>
              <w:rPr>
                <w:rFonts w:hint="eastAsia"/>
                <w:sz w:val="21"/>
                <w:szCs w:val="21"/>
              </w:rPr>
              <w:t>Job title</w:t>
            </w:r>
          </w:p>
        </w:tc>
        <w:tc>
          <w:tcPr>
            <w:tcW w:w="38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firstLine="480" w:firstLineChars="200"/>
              <w:rPr>
                <w:rFonts w:hint="eastAsia"/>
                <w:sz w:val="21"/>
                <w:szCs w:val="21"/>
              </w:rPr>
            </w:pPr>
          </w:p>
        </w:tc>
      </w:tr>
      <w:tr>
        <w:tblPrEx>
          <w:tblLayout w:type="fixed"/>
          <w:tblCellMar>
            <w:top w:w="0" w:type="dxa"/>
            <w:left w:w="0" w:type="dxa"/>
            <w:bottom w:w="0" w:type="dxa"/>
            <w:right w:w="0" w:type="dxa"/>
          </w:tblCellMar>
        </w:tblPrEx>
        <w:trPr>
          <w:trHeight w:val="515" w:hRule="atLeast"/>
          <w:jc w:val="center"/>
        </w:trPr>
        <w:tc>
          <w:tcPr>
            <w:tcW w:w="2120" w:type="dxa"/>
            <w:vMerge w:val="continue"/>
            <w:tcBorders>
              <w:top w:val="single" w:color="000000" w:sz="4" w:space="0"/>
              <w:left w:val="single" w:color="000000" w:sz="4" w:space="0"/>
              <w:bottom w:val="nil"/>
              <w:right w:val="single" w:color="000000" w:sz="4" w:space="0"/>
            </w:tcBorders>
            <w:tcMar>
              <w:top w:w="8" w:type="dxa"/>
              <w:left w:w="8" w:type="dxa"/>
              <w:right w:w="8" w:type="dxa"/>
            </w:tcMar>
            <w:vAlign w:val="center"/>
          </w:tcPr>
          <w:p>
            <w:pPr>
              <w:ind w:firstLine="480" w:firstLineChars="200"/>
              <w:rPr>
                <w:rFonts w:hint="eastAsia"/>
                <w:sz w:val="21"/>
                <w:szCs w:val="21"/>
              </w:rPr>
            </w:pPr>
          </w:p>
        </w:tc>
        <w:tc>
          <w:tcPr>
            <w:tcW w:w="26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sz w:val="21"/>
                <w:szCs w:val="21"/>
              </w:rPr>
            </w:pPr>
            <w:r>
              <w:rPr>
                <w:rFonts w:hint="eastAsia"/>
                <w:sz w:val="21"/>
                <w:szCs w:val="21"/>
                <w:lang w:val="en-US" w:eastAsia="zh-CN"/>
              </w:rPr>
              <w:t xml:space="preserve"> </w:t>
            </w:r>
            <w:r>
              <w:rPr>
                <w:rFonts w:hint="eastAsia"/>
                <w:sz w:val="21"/>
                <w:szCs w:val="21"/>
              </w:rPr>
              <w:t>Phone</w:t>
            </w:r>
          </w:p>
        </w:tc>
        <w:tc>
          <w:tcPr>
            <w:tcW w:w="38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firstLine="480" w:firstLineChars="200"/>
              <w:rPr>
                <w:rFonts w:hint="eastAsia"/>
                <w:sz w:val="21"/>
                <w:szCs w:val="21"/>
              </w:rPr>
            </w:pPr>
          </w:p>
        </w:tc>
      </w:tr>
      <w:tr>
        <w:tblPrEx>
          <w:tblLayout w:type="fixed"/>
          <w:tblCellMar>
            <w:top w:w="0" w:type="dxa"/>
            <w:left w:w="0" w:type="dxa"/>
            <w:bottom w:w="0" w:type="dxa"/>
            <w:right w:w="0" w:type="dxa"/>
          </w:tblCellMar>
        </w:tblPrEx>
        <w:trPr>
          <w:trHeight w:val="515" w:hRule="atLeast"/>
          <w:jc w:val="center"/>
        </w:trPr>
        <w:tc>
          <w:tcPr>
            <w:tcW w:w="2120" w:type="dxa"/>
            <w:vMerge w:val="continue"/>
            <w:tcBorders>
              <w:top w:val="single" w:color="000000" w:sz="4" w:space="0"/>
              <w:left w:val="single" w:color="000000" w:sz="4" w:space="0"/>
              <w:bottom w:val="nil"/>
              <w:right w:val="single" w:color="000000" w:sz="4" w:space="0"/>
            </w:tcBorders>
            <w:tcMar>
              <w:top w:w="8" w:type="dxa"/>
              <w:left w:w="8" w:type="dxa"/>
              <w:right w:w="8" w:type="dxa"/>
            </w:tcMar>
            <w:vAlign w:val="center"/>
          </w:tcPr>
          <w:p>
            <w:pPr>
              <w:ind w:firstLine="480" w:firstLineChars="200"/>
              <w:rPr>
                <w:rFonts w:hint="eastAsia"/>
                <w:sz w:val="21"/>
                <w:szCs w:val="21"/>
              </w:rPr>
            </w:pPr>
          </w:p>
        </w:tc>
        <w:tc>
          <w:tcPr>
            <w:tcW w:w="2643"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sz w:val="21"/>
                <w:szCs w:val="21"/>
              </w:rPr>
            </w:pPr>
            <w:r>
              <w:rPr>
                <w:rFonts w:hint="eastAsia"/>
                <w:sz w:val="21"/>
                <w:szCs w:val="21"/>
                <w:lang w:val="en-US" w:eastAsia="zh-CN"/>
              </w:rPr>
              <w:t xml:space="preserve"> </w:t>
            </w:r>
            <w:r>
              <w:rPr>
                <w:rFonts w:hint="eastAsia"/>
                <w:sz w:val="21"/>
                <w:szCs w:val="21"/>
              </w:rPr>
              <w:t>E-mail Address</w:t>
            </w:r>
          </w:p>
        </w:tc>
        <w:tc>
          <w:tcPr>
            <w:tcW w:w="3826"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ind w:firstLine="480" w:firstLineChars="200"/>
              <w:rPr>
                <w:rFonts w:hint="eastAsia"/>
                <w:sz w:val="21"/>
                <w:szCs w:val="21"/>
              </w:rPr>
            </w:pPr>
          </w:p>
        </w:tc>
      </w:tr>
      <w:tr>
        <w:tblPrEx>
          <w:tblLayout w:type="fixed"/>
          <w:tblCellMar>
            <w:top w:w="0" w:type="dxa"/>
            <w:left w:w="0" w:type="dxa"/>
            <w:bottom w:w="0" w:type="dxa"/>
            <w:right w:w="0" w:type="dxa"/>
          </w:tblCellMar>
        </w:tblPrEx>
        <w:trPr>
          <w:trHeight w:val="1913" w:hRule="atLeast"/>
          <w:jc w:val="center"/>
        </w:trPr>
        <w:tc>
          <w:tcPr>
            <w:tcW w:w="8589" w:type="dxa"/>
            <w:gridSpan w:val="3"/>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both"/>
              <w:rPr>
                <w:sz w:val="21"/>
                <w:szCs w:val="21"/>
              </w:rPr>
            </w:pPr>
          </w:p>
          <w:p>
            <w:pPr>
              <w:jc w:val="both"/>
              <w:rPr>
                <w:rFonts w:hint="eastAsia"/>
                <w:sz w:val="21"/>
                <w:szCs w:val="21"/>
              </w:rPr>
            </w:pPr>
            <w:r>
              <w:rPr>
                <w:sz w:val="21"/>
                <w:szCs w:val="21"/>
              </w:rPr>
              <w:t xml:space="preserve">Remarks: </w:t>
            </w:r>
            <w:r>
              <w:rPr>
                <w:rFonts w:hint="eastAsia"/>
                <w:sz w:val="21"/>
                <w:szCs w:val="21"/>
              </w:rPr>
              <w:t xml:space="preserve">The </w:t>
            </w:r>
            <w:r>
              <w:rPr>
                <w:sz w:val="21"/>
                <w:szCs w:val="21"/>
              </w:rPr>
              <w:t>Canton Fair export exhibition</w:t>
            </w:r>
            <w:r>
              <w:rPr>
                <w:rFonts w:hint="eastAsia"/>
                <w:sz w:val="21"/>
                <w:szCs w:val="21"/>
              </w:rPr>
              <w:t xml:space="preserve"> </w:t>
            </w:r>
            <w:r>
              <w:rPr>
                <w:sz w:val="21"/>
                <w:szCs w:val="21"/>
              </w:rPr>
              <w:t xml:space="preserve">is divided into 16 major categories of goods </w:t>
            </w:r>
            <w:r>
              <w:rPr>
                <w:rFonts w:hint="eastAsia"/>
                <w:sz w:val="21"/>
                <w:szCs w:val="21"/>
                <w:lang w:eastAsia="zh-CN"/>
              </w:rPr>
              <w:t>including</w:t>
            </w:r>
            <w:r>
              <w:rPr>
                <w:sz w:val="21"/>
                <w:szCs w:val="21"/>
              </w:rPr>
              <w:t xml:space="preserve"> electronics and household appliances, lighting, vehicles and accessories, hardware tools, machinery, construction materials, chemical products, energy, daily consumer goods, gifts, and textiles</w:t>
            </w:r>
            <w:r>
              <w:rPr>
                <w:rFonts w:hint="eastAsia"/>
                <w:sz w:val="21"/>
                <w:szCs w:val="21"/>
              </w:rPr>
              <w:t xml:space="preserve">, </w:t>
            </w:r>
            <w:r>
              <w:rPr>
                <w:sz w:val="21"/>
                <w:szCs w:val="21"/>
              </w:rPr>
              <w:t xml:space="preserve">clothing, footwear, home decorations, office, luggage and leisure products, food, medicine and medical care. </w:t>
            </w:r>
          </w:p>
          <w:p>
            <w:pPr>
              <w:jc w:val="both"/>
              <w:rPr>
                <w:sz w:val="21"/>
                <w:szCs w:val="21"/>
              </w:rPr>
            </w:pPr>
          </w:p>
          <w:p>
            <w:pPr>
              <w:jc w:val="both"/>
              <w:rPr>
                <w:sz w:val="21"/>
                <w:szCs w:val="21"/>
              </w:rPr>
            </w:pPr>
            <w:r>
              <w:rPr>
                <w:sz w:val="21"/>
                <w:szCs w:val="21"/>
              </w:rPr>
              <w:t>The Canton Fair import exhibition is divided into 6 categories: electronics and household appliances, construction materials and hardware, machinery and equipment, food and beverage, household items, fabrics and textiles.</w:t>
            </w:r>
          </w:p>
          <w:p>
            <w:pPr>
              <w:jc w:val="both"/>
              <w:rPr>
                <w:sz w:val="21"/>
                <w:szCs w:val="21"/>
              </w:rPr>
            </w:pPr>
          </w:p>
        </w:tc>
      </w:tr>
    </w:tbl>
    <w:p>
      <w:pPr>
        <w:ind w:right="960"/>
        <w:jc w:val="both"/>
        <w:rPr>
          <w:rFonts w:hint="eastAsia" w:ascii="彩虹粗仿宋" w:hAnsi="宋体" w:eastAsia="彩虹粗仿宋" w:cs="宋体"/>
          <w:szCs w:val="24"/>
        </w:rPr>
      </w:pPr>
    </w:p>
    <w:sectPr>
      <w:footerReference r:id="rId3" w:type="default"/>
      <w:pgSz w:w="12240" w:h="15840"/>
      <w:pgMar w:top="590" w:right="1633" w:bottom="590" w:left="1633"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G Omega">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彩虹小标宋">
    <w:panose1 w:val="03000509000000000000"/>
    <w:charset w:val="86"/>
    <w:family w:val="script"/>
    <w:pitch w:val="default"/>
    <w:sig w:usb0="00000001" w:usb1="080E0000" w:usb2="00000000" w:usb3="00000000" w:csb0="00040000" w:csb1="00000000"/>
  </w:font>
  <w:font w:name="Helv">
    <w:altName w:val="Arial"/>
    <w:panose1 w:val="020B0604020202030204"/>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彩虹粗仿宋">
    <w:panose1 w:val="03000509000000000000"/>
    <w:charset w:val="86"/>
    <w:family w:val="script"/>
    <w:pitch w:val="default"/>
    <w:sig w:usb0="00000001" w:usb1="080E0000" w:usb2="00000000" w:usb3="00000000" w:csb0="00040000" w:csb1="00000000"/>
  </w:font>
  <w:font w:name="Peterburg">
    <w:altName w:val="Times New Roman"/>
    <w:panose1 w:val="00000000000000000000"/>
    <w:charset w:val="00"/>
    <w:family w:val="auto"/>
    <w:pitch w:val="default"/>
    <w:sig w:usb0="00000000" w:usb1="00000000" w:usb2="00000000" w:usb3="00000000" w:csb0="00000001" w:csb1="00000000"/>
  </w:font>
  <w:font w:name="彩虹黑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ongolian Baiti">
    <w:panose1 w:val="03000500000000000000"/>
    <w:charset w:val="00"/>
    <w:family w:val="script"/>
    <w:pitch w:val="default"/>
    <w:sig w:usb0="80000023" w:usb1="00000000" w:usb2="00020000" w:usb3="00000000" w:csb0="00000001"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苹方">
    <w:altName w:val="Segoe Print"/>
    <w:panose1 w:val="00000000000000000000"/>
    <w:charset w:val="00"/>
    <w:family w:val="auto"/>
    <w:pitch w:val="default"/>
    <w:sig w:usb0="00000000" w:usb1="00000000" w:usb2="00000000" w:usb3="00000000" w:csb0="00040001" w:csb1="00000000"/>
  </w:font>
  <w:font w:name="Calibri">
    <w:panose1 w:val="020F0502020204030204"/>
    <w:charset w:val="86"/>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jc w:val="center"/>
      <w:rPr>
        <w:rFonts w:ascii="Times New Roman" w:hAnsi="Times New Roman"/>
        <w:sz w:val="22"/>
        <w:szCs w:val="22"/>
        <w:lang w:val="en-US"/>
      </w:rPr>
    </w:pPr>
    <w:r>
      <w:rPr>
        <w:rFonts w:ascii="Times New Roman" w:hAnsi="Times New Roman"/>
        <w:sz w:val="22"/>
        <w:szCs w:val="22"/>
      </w:rPr>
      <w:t>101000, г. М</w:t>
    </w:r>
    <w:bookmarkStart w:id="0" w:name="OLE_LINK1"/>
    <w:bookmarkEnd w:id="0"/>
    <w:r>
      <w:rPr>
        <w:rFonts w:ascii="Times New Roman" w:hAnsi="Times New Roman"/>
        <w:sz w:val="22"/>
        <w:szCs w:val="22"/>
      </w:rPr>
      <w:t>осква, Лубянский проезд, д.11/1, стр.1, тел. +7 (</w:t>
    </w:r>
    <w:r>
      <w:rPr>
        <w:rFonts w:ascii="Times New Roman" w:hAnsi="Times New Roman" w:eastAsiaTheme="minorHAnsi"/>
        <w:color w:val="000000"/>
        <w:sz w:val="22"/>
        <w:szCs w:val="22"/>
        <w:lang w:val="en-US" w:eastAsia="en-US"/>
      </w:rPr>
      <w:t>495)</w:t>
    </w:r>
    <w:r>
      <w:rPr>
        <w:rFonts w:ascii="Times New Roman" w:hAnsi="Times New Roman" w:eastAsiaTheme="minorHAnsi"/>
        <w:color w:val="000000"/>
        <w:sz w:val="22"/>
        <w:szCs w:val="22"/>
        <w:lang w:eastAsia="en-US"/>
      </w:rPr>
      <w:t xml:space="preserve"> </w:t>
    </w:r>
    <w:r>
      <w:rPr>
        <w:rFonts w:ascii="Times New Roman" w:hAnsi="Times New Roman" w:eastAsiaTheme="minorHAnsi"/>
        <w:color w:val="000000"/>
        <w:sz w:val="22"/>
        <w:szCs w:val="22"/>
        <w:lang w:val="en-US" w:eastAsia="en-US"/>
      </w:rPr>
      <w:t>675 98 00</w:t>
    </w:r>
    <w:r>
      <w:rPr>
        <w:rFonts w:ascii="Times New Roman" w:hAnsi="Times New Roman"/>
        <w:sz w:val="22"/>
        <w:szCs w:val="22"/>
      </w:rPr>
      <w:t>, доб.140</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38"/>
    <w:rsid w:val="00002C36"/>
    <w:rsid w:val="000154A5"/>
    <w:rsid w:val="0004643D"/>
    <w:rsid w:val="00053EEC"/>
    <w:rsid w:val="00076F82"/>
    <w:rsid w:val="000B4B9E"/>
    <w:rsid w:val="000E6A09"/>
    <w:rsid w:val="0010504F"/>
    <w:rsid w:val="00121251"/>
    <w:rsid w:val="00124247"/>
    <w:rsid w:val="0015368F"/>
    <w:rsid w:val="00156EE0"/>
    <w:rsid w:val="00173344"/>
    <w:rsid w:val="00176FD4"/>
    <w:rsid w:val="00187129"/>
    <w:rsid w:val="001A6277"/>
    <w:rsid w:val="001D49AC"/>
    <w:rsid w:val="002009D1"/>
    <w:rsid w:val="0021100A"/>
    <w:rsid w:val="00211B00"/>
    <w:rsid w:val="00221943"/>
    <w:rsid w:val="0023523F"/>
    <w:rsid w:val="0026589A"/>
    <w:rsid w:val="00270336"/>
    <w:rsid w:val="00276A98"/>
    <w:rsid w:val="0030028C"/>
    <w:rsid w:val="00321481"/>
    <w:rsid w:val="0032630E"/>
    <w:rsid w:val="0037329D"/>
    <w:rsid w:val="00393B9D"/>
    <w:rsid w:val="003B7A9E"/>
    <w:rsid w:val="003F74AF"/>
    <w:rsid w:val="00433F3E"/>
    <w:rsid w:val="00455F99"/>
    <w:rsid w:val="00455FA8"/>
    <w:rsid w:val="004572F4"/>
    <w:rsid w:val="004A1187"/>
    <w:rsid w:val="004A1FBF"/>
    <w:rsid w:val="004B58EB"/>
    <w:rsid w:val="005243B2"/>
    <w:rsid w:val="005933BA"/>
    <w:rsid w:val="005D0F23"/>
    <w:rsid w:val="005D27F0"/>
    <w:rsid w:val="005E384C"/>
    <w:rsid w:val="00620600"/>
    <w:rsid w:val="00624705"/>
    <w:rsid w:val="00657FEF"/>
    <w:rsid w:val="00660940"/>
    <w:rsid w:val="00663E16"/>
    <w:rsid w:val="006A5E43"/>
    <w:rsid w:val="006D4598"/>
    <w:rsid w:val="006D48E1"/>
    <w:rsid w:val="00744C0C"/>
    <w:rsid w:val="00744FA8"/>
    <w:rsid w:val="00750599"/>
    <w:rsid w:val="007625A2"/>
    <w:rsid w:val="008150F0"/>
    <w:rsid w:val="00827F78"/>
    <w:rsid w:val="00832CA3"/>
    <w:rsid w:val="008465FF"/>
    <w:rsid w:val="00853465"/>
    <w:rsid w:val="00853DDB"/>
    <w:rsid w:val="00874CA8"/>
    <w:rsid w:val="008A3635"/>
    <w:rsid w:val="008A5510"/>
    <w:rsid w:val="008D34B3"/>
    <w:rsid w:val="008D7FFB"/>
    <w:rsid w:val="008E48C5"/>
    <w:rsid w:val="00903AE9"/>
    <w:rsid w:val="00917E8D"/>
    <w:rsid w:val="00926D76"/>
    <w:rsid w:val="00936C1C"/>
    <w:rsid w:val="00937532"/>
    <w:rsid w:val="00956B8F"/>
    <w:rsid w:val="00981A01"/>
    <w:rsid w:val="009B3EE5"/>
    <w:rsid w:val="009F1B89"/>
    <w:rsid w:val="00A254DE"/>
    <w:rsid w:val="00A3288F"/>
    <w:rsid w:val="00A62B9B"/>
    <w:rsid w:val="00A75B82"/>
    <w:rsid w:val="00A7710F"/>
    <w:rsid w:val="00A8346C"/>
    <w:rsid w:val="00AB1BDF"/>
    <w:rsid w:val="00AD75F1"/>
    <w:rsid w:val="00B37E2C"/>
    <w:rsid w:val="00B65400"/>
    <w:rsid w:val="00BA716D"/>
    <w:rsid w:val="00BC3EBC"/>
    <w:rsid w:val="00C12904"/>
    <w:rsid w:val="00C16023"/>
    <w:rsid w:val="00C17105"/>
    <w:rsid w:val="00CA3ED4"/>
    <w:rsid w:val="00CD3F02"/>
    <w:rsid w:val="00CD7F52"/>
    <w:rsid w:val="00CE0C06"/>
    <w:rsid w:val="00CE60F2"/>
    <w:rsid w:val="00D03D6D"/>
    <w:rsid w:val="00D30E7E"/>
    <w:rsid w:val="00D53A90"/>
    <w:rsid w:val="00D57282"/>
    <w:rsid w:val="00D650EB"/>
    <w:rsid w:val="00D723C6"/>
    <w:rsid w:val="00D73A7F"/>
    <w:rsid w:val="00D75557"/>
    <w:rsid w:val="00D81F46"/>
    <w:rsid w:val="00D94C6D"/>
    <w:rsid w:val="00DE688F"/>
    <w:rsid w:val="00E0329A"/>
    <w:rsid w:val="00E07465"/>
    <w:rsid w:val="00E14983"/>
    <w:rsid w:val="00E346BD"/>
    <w:rsid w:val="00E364D8"/>
    <w:rsid w:val="00E44769"/>
    <w:rsid w:val="00E6692B"/>
    <w:rsid w:val="00E862E1"/>
    <w:rsid w:val="00E958D5"/>
    <w:rsid w:val="00EA7938"/>
    <w:rsid w:val="00EC2B22"/>
    <w:rsid w:val="00EC7EB6"/>
    <w:rsid w:val="00ED7123"/>
    <w:rsid w:val="00EE5F91"/>
    <w:rsid w:val="00F00DB0"/>
    <w:rsid w:val="00F06E24"/>
    <w:rsid w:val="00F262C3"/>
    <w:rsid w:val="00F27620"/>
    <w:rsid w:val="00F30C42"/>
    <w:rsid w:val="00F51854"/>
    <w:rsid w:val="00F54203"/>
    <w:rsid w:val="00F61188"/>
    <w:rsid w:val="00F63E83"/>
    <w:rsid w:val="00FD2D68"/>
    <w:rsid w:val="00FD4D38"/>
    <w:rsid w:val="00FE20CE"/>
    <w:rsid w:val="01836294"/>
    <w:rsid w:val="01920140"/>
    <w:rsid w:val="03E21C3C"/>
    <w:rsid w:val="13B26F8F"/>
    <w:rsid w:val="140569D1"/>
    <w:rsid w:val="1581694E"/>
    <w:rsid w:val="15F96E0E"/>
    <w:rsid w:val="16F57F3A"/>
    <w:rsid w:val="17896ECF"/>
    <w:rsid w:val="215A2E88"/>
    <w:rsid w:val="27FF6406"/>
    <w:rsid w:val="2B4B2650"/>
    <w:rsid w:val="30D32401"/>
    <w:rsid w:val="36CA360E"/>
    <w:rsid w:val="382F0168"/>
    <w:rsid w:val="3F992F5C"/>
    <w:rsid w:val="43474C26"/>
    <w:rsid w:val="43FE5044"/>
    <w:rsid w:val="4B26140B"/>
    <w:rsid w:val="4B372537"/>
    <w:rsid w:val="4E0F7BB0"/>
    <w:rsid w:val="520A1A39"/>
    <w:rsid w:val="561E69F9"/>
    <w:rsid w:val="565E50CB"/>
    <w:rsid w:val="57D55635"/>
    <w:rsid w:val="5D393F10"/>
    <w:rsid w:val="5F7F5A33"/>
    <w:rsid w:val="60594F57"/>
    <w:rsid w:val="60B42EDF"/>
    <w:rsid w:val="630D38A6"/>
    <w:rsid w:val="63F61F0C"/>
    <w:rsid w:val="64403493"/>
    <w:rsid w:val="674F6FEC"/>
    <w:rsid w:val="67CE5C23"/>
    <w:rsid w:val="72EE6191"/>
    <w:rsid w:val="734F5F83"/>
    <w:rsid w:val="7C053F0B"/>
    <w:rsid w:val="7CF60EBC"/>
    <w:rsid w:val="7F64669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Peterburg" w:hAnsi="Peterburg" w:eastAsia="宋体" w:cs="Times New Roman"/>
      <w:sz w:val="24"/>
      <w:lang w:val="ru-RU" w:eastAsia="zh-CN" w:bidi="ar-SA"/>
    </w:rPr>
  </w:style>
  <w:style w:type="paragraph" w:styleId="2">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unhideWhenUsed/>
    <w:uiPriority w:val="99"/>
    <w:rPr>
      <w:b/>
      <w:bCs/>
    </w:rPr>
  </w:style>
  <w:style w:type="paragraph" w:styleId="4">
    <w:name w:val="annotation text"/>
    <w:basedOn w:val="1"/>
    <w:link w:val="19"/>
    <w:unhideWhenUsed/>
    <w:qFormat/>
    <w:uiPriority w:val="99"/>
    <w:rPr>
      <w:sz w:val="20"/>
    </w:rPr>
  </w:style>
  <w:style w:type="paragraph" w:styleId="5">
    <w:name w:val="Date"/>
    <w:basedOn w:val="1"/>
    <w:next w:val="1"/>
    <w:link w:val="18"/>
    <w:unhideWhenUsed/>
    <w:qFormat/>
    <w:uiPriority w:val="99"/>
  </w:style>
  <w:style w:type="paragraph" w:styleId="6">
    <w:name w:val="Balloon Text"/>
    <w:basedOn w:val="1"/>
    <w:link w:val="16"/>
    <w:unhideWhenUsed/>
    <w:qFormat/>
    <w:uiPriority w:val="99"/>
    <w:rPr>
      <w:rFonts w:ascii="Tahoma" w:hAnsi="Tahoma" w:cs="Tahoma"/>
      <w:sz w:val="16"/>
      <w:szCs w:val="16"/>
    </w:rPr>
  </w:style>
  <w:style w:type="paragraph" w:styleId="7">
    <w:name w:val="footer"/>
    <w:basedOn w:val="1"/>
    <w:link w:val="15"/>
    <w:unhideWhenUsed/>
    <w:qFormat/>
    <w:uiPriority w:val="99"/>
    <w:pPr>
      <w:tabs>
        <w:tab w:val="center" w:pos="4844"/>
        <w:tab w:val="right" w:pos="9689"/>
      </w:tabs>
    </w:pPr>
  </w:style>
  <w:style w:type="paragraph" w:styleId="8">
    <w:name w:val="header"/>
    <w:basedOn w:val="1"/>
    <w:link w:val="14"/>
    <w:unhideWhenUsed/>
    <w:qFormat/>
    <w:uiPriority w:val="99"/>
    <w:pPr>
      <w:tabs>
        <w:tab w:val="center" w:pos="4844"/>
        <w:tab w:val="right" w:pos="9689"/>
      </w:tabs>
    </w:pPr>
  </w:style>
  <w:style w:type="paragraph" w:styleId="9">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unhideWhenUsed/>
    <w:qFormat/>
    <w:uiPriority w:val="99"/>
    <w:rPr>
      <w:sz w:val="16"/>
      <w:szCs w:val="16"/>
    </w:rPr>
  </w:style>
  <w:style w:type="character" w:customStyle="1" w:styleId="14">
    <w:name w:val="Header Char"/>
    <w:basedOn w:val="10"/>
    <w:link w:val="8"/>
    <w:qFormat/>
    <w:uiPriority w:val="99"/>
    <w:rPr>
      <w:rFonts w:ascii="Peterburg" w:hAnsi="Peterburg" w:eastAsia="宋体" w:cs="Times New Roman"/>
      <w:sz w:val="24"/>
      <w:szCs w:val="20"/>
      <w:lang w:val="ru-RU" w:eastAsia="zh-CN"/>
    </w:rPr>
  </w:style>
  <w:style w:type="character" w:customStyle="1" w:styleId="15">
    <w:name w:val="Footer Char"/>
    <w:basedOn w:val="10"/>
    <w:link w:val="7"/>
    <w:qFormat/>
    <w:uiPriority w:val="99"/>
    <w:rPr>
      <w:rFonts w:ascii="Peterburg" w:hAnsi="Peterburg" w:eastAsia="宋体" w:cs="Times New Roman"/>
      <w:sz w:val="24"/>
      <w:szCs w:val="20"/>
      <w:lang w:val="ru-RU" w:eastAsia="zh-CN"/>
    </w:rPr>
  </w:style>
  <w:style w:type="character" w:customStyle="1" w:styleId="16">
    <w:name w:val="Balloon Text Char"/>
    <w:basedOn w:val="10"/>
    <w:link w:val="6"/>
    <w:semiHidden/>
    <w:qFormat/>
    <w:uiPriority w:val="99"/>
    <w:rPr>
      <w:rFonts w:ascii="Tahoma" w:hAnsi="Tahoma" w:eastAsia="宋体" w:cs="Tahoma"/>
      <w:sz w:val="16"/>
      <w:szCs w:val="16"/>
      <w:lang w:val="ru-RU" w:eastAsia="zh-CN"/>
    </w:rPr>
  </w:style>
  <w:style w:type="paragraph" w:customStyle="1" w:styleId="17">
    <w:name w:val="List Paragraph1"/>
    <w:basedOn w:val="1"/>
    <w:qFormat/>
    <w:uiPriority w:val="34"/>
    <w:pPr>
      <w:ind w:left="720"/>
      <w:contextualSpacing/>
    </w:pPr>
  </w:style>
  <w:style w:type="character" w:customStyle="1" w:styleId="18">
    <w:name w:val="Date Char"/>
    <w:basedOn w:val="10"/>
    <w:link w:val="5"/>
    <w:semiHidden/>
    <w:qFormat/>
    <w:uiPriority w:val="99"/>
    <w:rPr>
      <w:rFonts w:ascii="Peterburg" w:hAnsi="Peterburg" w:eastAsia="宋体" w:cs="Times New Roman"/>
      <w:sz w:val="24"/>
      <w:szCs w:val="20"/>
      <w:lang w:val="ru-RU" w:eastAsia="zh-CN"/>
    </w:rPr>
  </w:style>
  <w:style w:type="character" w:customStyle="1" w:styleId="19">
    <w:name w:val="Comment Text Char"/>
    <w:basedOn w:val="10"/>
    <w:link w:val="4"/>
    <w:semiHidden/>
    <w:qFormat/>
    <w:uiPriority w:val="99"/>
    <w:rPr>
      <w:rFonts w:ascii="Peterburg" w:hAnsi="Peterburg" w:eastAsia="宋体" w:cs="Times New Roman"/>
      <w:sz w:val="20"/>
      <w:szCs w:val="20"/>
      <w:lang w:val="ru-RU" w:eastAsia="zh-CN"/>
    </w:rPr>
  </w:style>
  <w:style w:type="character" w:customStyle="1" w:styleId="20">
    <w:name w:val="Comment Subject Char"/>
    <w:basedOn w:val="19"/>
    <w:link w:val="3"/>
    <w:semiHidden/>
    <w:qFormat/>
    <w:uiPriority w:val="99"/>
    <w:rPr>
      <w:rFonts w:ascii="Peterburg" w:hAnsi="Peterburg" w:eastAsia="宋体" w:cs="Times New Roman"/>
      <w:b/>
      <w:bCs/>
      <w:sz w:val="20"/>
      <w:szCs w:val="20"/>
      <w:lang w:val="ru-RU"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http://www.ccb.com/" TargetMode="Externa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377</Words>
  <Characters>2149</Characters>
  <Lines>17</Lines>
  <Paragraphs>5</Paragraphs>
  <ScaleCrop>false</ScaleCrop>
  <LinksUpToDate>false</LinksUpToDate>
  <CharactersWithSpaces>2521</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2020-03-30T14:38:00Z</dcterms:created>
  <dc:creator>Lyudmila Rylova</dc:creator>
  <cp:lastModifiedBy>dell</cp:lastModifiedBy>
  <cp:lastPrinted>2015-09-01T14:41:00Z</cp:lastPrinted>
  <dcterms:modified xsi:type="dcterms:W3CDTF">2020-05-28T16:06:01Z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